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454E6" w14:textId="77777777" w:rsidR="00BB76E1" w:rsidRDefault="00BB76E1">
      <w:pPr>
        <w:pStyle w:val="BodyText"/>
        <w:rPr>
          <w:sz w:val="20"/>
        </w:rPr>
      </w:pPr>
    </w:p>
    <w:p w14:paraId="2559E308" w14:textId="77777777" w:rsidR="00BB76E1" w:rsidRDefault="00BB76E1">
      <w:pPr>
        <w:pStyle w:val="BodyText"/>
        <w:spacing w:before="5"/>
        <w:rPr>
          <w:sz w:val="21"/>
        </w:rPr>
      </w:pPr>
    </w:p>
    <w:p w14:paraId="04677DE8" w14:textId="61C0A1CA" w:rsidR="00BB76E1" w:rsidRDefault="007870DA">
      <w:pPr>
        <w:pStyle w:val="Heading1"/>
        <w:ind w:left="3117" w:right="1509" w:hanging="1652"/>
      </w:pPr>
      <w:bookmarkStart w:id="0" w:name="College_of_Liberal_Arts_and_Sciences_Pol"/>
      <w:bookmarkEnd w:id="0"/>
      <w:r>
        <w:t>College of Liberal Arts and Sciences Policies and Best Practices for TA Assignments 201</w:t>
      </w:r>
      <w:r w:rsidR="002A6BC7">
        <w:t>9</w:t>
      </w:r>
      <w:r>
        <w:t>-20</w:t>
      </w:r>
      <w:r w:rsidR="002A6BC7">
        <w:t>20</w:t>
      </w:r>
    </w:p>
    <w:p w14:paraId="1155D226" w14:textId="77777777" w:rsidR="00BB76E1" w:rsidRDefault="00BB76E1">
      <w:pPr>
        <w:pStyle w:val="BodyText"/>
        <w:spacing w:before="6"/>
        <w:rPr>
          <w:b/>
          <w:sz w:val="38"/>
        </w:rPr>
      </w:pPr>
    </w:p>
    <w:p w14:paraId="246BBD5E" w14:textId="77777777" w:rsidR="00BB76E1" w:rsidRDefault="007870DA">
      <w:pPr>
        <w:ind w:left="120"/>
        <w:rPr>
          <w:b/>
          <w:sz w:val="24"/>
        </w:rPr>
      </w:pPr>
      <w:r>
        <w:rPr>
          <w:b/>
          <w:sz w:val="24"/>
        </w:rPr>
        <w:t>Assignments</w:t>
      </w:r>
    </w:p>
    <w:p w14:paraId="544C9684" w14:textId="77777777" w:rsidR="00BB76E1" w:rsidRDefault="007870DA">
      <w:pPr>
        <w:pStyle w:val="ListParagraph"/>
        <w:numPr>
          <w:ilvl w:val="0"/>
          <w:numId w:val="3"/>
        </w:numPr>
        <w:tabs>
          <w:tab w:val="left" w:pos="479"/>
          <w:tab w:val="left" w:pos="480"/>
        </w:tabs>
        <w:spacing w:before="148"/>
        <w:ind w:right="518"/>
        <w:rPr>
          <w:sz w:val="24"/>
        </w:rPr>
      </w:pPr>
      <w:r>
        <w:rPr>
          <w:sz w:val="24"/>
        </w:rPr>
        <w:t xml:space="preserve">Teaching </w:t>
      </w:r>
      <w:r>
        <w:rPr>
          <w:spacing w:val="-3"/>
          <w:sz w:val="24"/>
        </w:rPr>
        <w:t xml:space="preserve">assistants’ </w:t>
      </w:r>
      <w:r>
        <w:rPr>
          <w:sz w:val="24"/>
        </w:rPr>
        <w:t xml:space="preserve">activities may include grading, </w:t>
      </w:r>
      <w:r>
        <w:rPr>
          <w:spacing w:val="-3"/>
          <w:sz w:val="24"/>
        </w:rPr>
        <w:t xml:space="preserve">leading </w:t>
      </w:r>
      <w:r>
        <w:rPr>
          <w:sz w:val="24"/>
        </w:rPr>
        <w:t>discussion sections or laboratory</w:t>
      </w:r>
      <w:r>
        <w:rPr>
          <w:spacing w:val="-17"/>
          <w:sz w:val="24"/>
        </w:rPr>
        <w:t xml:space="preserve"> </w:t>
      </w:r>
      <w:r>
        <w:rPr>
          <w:sz w:val="24"/>
        </w:rPr>
        <w:t>sections,</w:t>
      </w:r>
      <w:r>
        <w:rPr>
          <w:spacing w:val="-6"/>
          <w:sz w:val="24"/>
        </w:rPr>
        <w:t xml:space="preserve"> </w:t>
      </w:r>
      <w:r>
        <w:rPr>
          <w:sz w:val="24"/>
        </w:rPr>
        <w:t>preparing</w:t>
      </w:r>
      <w:r>
        <w:rPr>
          <w:spacing w:val="-11"/>
          <w:sz w:val="24"/>
        </w:rPr>
        <w:t xml:space="preserve"> </w:t>
      </w:r>
      <w:r>
        <w:rPr>
          <w:sz w:val="24"/>
        </w:rPr>
        <w:t>instructional</w:t>
      </w:r>
      <w:r>
        <w:rPr>
          <w:spacing w:val="-8"/>
          <w:sz w:val="24"/>
        </w:rPr>
        <w:t xml:space="preserve"> </w:t>
      </w:r>
      <w:r>
        <w:rPr>
          <w:spacing w:val="-3"/>
          <w:sz w:val="24"/>
        </w:rPr>
        <w:t>materials,</w:t>
      </w:r>
      <w:r>
        <w:rPr>
          <w:spacing w:val="-9"/>
          <w:sz w:val="24"/>
        </w:rPr>
        <w:t xml:space="preserve"> </w:t>
      </w:r>
      <w:r>
        <w:rPr>
          <w:sz w:val="24"/>
        </w:rPr>
        <w:t>or</w:t>
      </w:r>
      <w:r>
        <w:rPr>
          <w:spacing w:val="-7"/>
          <w:sz w:val="24"/>
        </w:rPr>
        <w:t xml:space="preserve"> </w:t>
      </w:r>
      <w:r>
        <w:rPr>
          <w:sz w:val="24"/>
        </w:rPr>
        <w:t>teaching</w:t>
      </w:r>
      <w:r>
        <w:rPr>
          <w:spacing w:val="-9"/>
          <w:sz w:val="24"/>
        </w:rPr>
        <w:t xml:space="preserve"> </w:t>
      </w:r>
      <w:r>
        <w:rPr>
          <w:sz w:val="24"/>
        </w:rPr>
        <w:t>courses.</w:t>
      </w:r>
      <w:r>
        <w:rPr>
          <w:spacing w:val="-6"/>
          <w:sz w:val="24"/>
        </w:rPr>
        <w:t xml:space="preserve"> </w:t>
      </w:r>
      <w:r>
        <w:rPr>
          <w:sz w:val="24"/>
        </w:rPr>
        <w:t>Before</w:t>
      </w:r>
      <w:r>
        <w:rPr>
          <w:spacing w:val="-7"/>
          <w:sz w:val="24"/>
        </w:rPr>
        <w:t xml:space="preserve"> </w:t>
      </w:r>
      <w:r>
        <w:rPr>
          <w:spacing w:val="-3"/>
          <w:sz w:val="24"/>
        </w:rPr>
        <w:t xml:space="preserve">making </w:t>
      </w:r>
      <w:r>
        <w:rPr>
          <w:sz w:val="24"/>
        </w:rPr>
        <w:t>any</w:t>
      </w:r>
      <w:r>
        <w:rPr>
          <w:spacing w:val="-44"/>
          <w:sz w:val="24"/>
        </w:rPr>
        <w:t xml:space="preserve"> </w:t>
      </w:r>
      <w:r>
        <w:rPr>
          <w:sz w:val="24"/>
        </w:rPr>
        <w:t xml:space="preserve">other </w:t>
      </w:r>
      <w:r>
        <w:rPr>
          <w:spacing w:val="-3"/>
          <w:sz w:val="24"/>
        </w:rPr>
        <w:t xml:space="preserve">assignments, </w:t>
      </w:r>
      <w:r>
        <w:rPr>
          <w:sz w:val="24"/>
        </w:rPr>
        <w:t>DEOs should check with Dean Getz.</w:t>
      </w:r>
    </w:p>
    <w:p w14:paraId="193717DA" w14:textId="77777777" w:rsidR="00BB76E1" w:rsidRDefault="007870DA">
      <w:pPr>
        <w:pStyle w:val="ListParagraph"/>
        <w:numPr>
          <w:ilvl w:val="0"/>
          <w:numId w:val="3"/>
        </w:numPr>
        <w:tabs>
          <w:tab w:val="left" w:pos="479"/>
          <w:tab w:val="left" w:pos="480"/>
        </w:tabs>
        <w:ind w:right="435"/>
        <w:rPr>
          <w:sz w:val="24"/>
        </w:rPr>
      </w:pPr>
      <w:r>
        <w:rPr>
          <w:spacing w:val="-3"/>
          <w:sz w:val="24"/>
        </w:rPr>
        <w:t>If</w:t>
      </w:r>
      <w:r>
        <w:rPr>
          <w:sz w:val="24"/>
        </w:rPr>
        <w:t xml:space="preserve"> your</w:t>
      </w:r>
      <w:r>
        <w:rPr>
          <w:spacing w:val="-5"/>
          <w:sz w:val="24"/>
        </w:rPr>
        <w:t xml:space="preserve"> </w:t>
      </w:r>
      <w:r>
        <w:rPr>
          <w:sz w:val="24"/>
        </w:rPr>
        <w:t>department</w:t>
      </w:r>
      <w:r>
        <w:rPr>
          <w:spacing w:val="-4"/>
          <w:sz w:val="24"/>
        </w:rPr>
        <w:t xml:space="preserve"> </w:t>
      </w:r>
      <w:r>
        <w:rPr>
          <w:sz w:val="24"/>
        </w:rPr>
        <w:t>commonly</w:t>
      </w:r>
      <w:r>
        <w:rPr>
          <w:spacing w:val="-13"/>
          <w:sz w:val="24"/>
        </w:rPr>
        <w:t xml:space="preserve"> </w:t>
      </w:r>
      <w:r>
        <w:rPr>
          <w:sz w:val="24"/>
        </w:rPr>
        <w:t>uses</w:t>
      </w:r>
      <w:r>
        <w:rPr>
          <w:spacing w:val="-4"/>
          <w:sz w:val="24"/>
        </w:rPr>
        <w:t xml:space="preserve"> </w:t>
      </w:r>
      <w:r>
        <w:rPr>
          <w:sz w:val="24"/>
        </w:rPr>
        <w:t>part</w:t>
      </w:r>
      <w:r>
        <w:rPr>
          <w:spacing w:val="-6"/>
          <w:sz w:val="24"/>
        </w:rPr>
        <w:t xml:space="preserve"> </w:t>
      </w:r>
      <w:r>
        <w:rPr>
          <w:sz w:val="24"/>
        </w:rPr>
        <w:t xml:space="preserve">of </w:t>
      </w:r>
      <w:r>
        <w:rPr>
          <w:spacing w:val="-3"/>
          <w:sz w:val="24"/>
        </w:rPr>
        <w:t>your</w:t>
      </w:r>
      <w:r>
        <w:rPr>
          <w:spacing w:val="-8"/>
          <w:sz w:val="24"/>
        </w:rPr>
        <w:t xml:space="preserve"> </w:t>
      </w:r>
      <w:r>
        <w:rPr>
          <w:sz w:val="24"/>
        </w:rPr>
        <w:t>TA</w:t>
      </w:r>
      <w:r>
        <w:rPr>
          <w:spacing w:val="-5"/>
          <w:sz w:val="24"/>
        </w:rPr>
        <w:t xml:space="preserve"> </w:t>
      </w:r>
      <w:r>
        <w:rPr>
          <w:spacing w:val="-3"/>
          <w:sz w:val="24"/>
        </w:rPr>
        <w:t>allocation</w:t>
      </w:r>
      <w:r>
        <w:rPr>
          <w:spacing w:val="-7"/>
          <w:sz w:val="24"/>
        </w:rPr>
        <w:t xml:space="preserve"> </w:t>
      </w:r>
      <w:r>
        <w:rPr>
          <w:sz w:val="24"/>
        </w:rPr>
        <w:t>for</w:t>
      </w:r>
      <w:r>
        <w:rPr>
          <w:spacing w:val="-5"/>
          <w:sz w:val="24"/>
        </w:rPr>
        <w:t xml:space="preserve"> </w:t>
      </w:r>
      <w:r>
        <w:rPr>
          <w:sz w:val="24"/>
        </w:rPr>
        <w:t>graders,</w:t>
      </w:r>
      <w:r>
        <w:rPr>
          <w:spacing w:val="-4"/>
          <w:sz w:val="24"/>
        </w:rPr>
        <w:t xml:space="preserve"> </w:t>
      </w:r>
      <w:r>
        <w:rPr>
          <w:sz w:val="24"/>
        </w:rPr>
        <w:t>please</w:t>
      </w:r>
      <w:r>
        <w:rPr>
          <w:spacing w:val="-8"/>
          <w:sz w:val="24"/>
        </w:rPr>
        <w:t xml:space="preserve"> </w:t>
      </w:r>
      <w:r>
        <w:rPr>
          <w:sz w:val="24"/>
        </w:rPr>
        <w:t>note</w:t>
      </w:r>
      <w:r>
        <w:rPr>
          <w:spacing w:val="-8"/>
          <w:sz w:val="24"/>
        </w:rPr>
        <w:t xml:space="preserve"> </w:t>
      </w:r>
      <w:r>
        <w:rPr>
          <w:sz w:val="24"/>
        </w:rPr>
        <w:t xml:space="preserve">that they normally </w:t>
      </w:r>
      <w:r>
        <w:rPr>
          <w:spacing w:val="-5"/>
          <w:sz w:val="24"/>
        </w:rPr>
        <w:t xml:space="preserve">should </w:t>
      </w:r>
      <w:r>
        <w:rPr>
          <w:sz w:val="24"/>
        </w:rPr>
        <w:t>be assigned only to t</w:t>
      </w:r>
      <w:bookmarkStart w:id="1" w:name="_GoBack"/>
      <w:bookmarkEnd w:id="1"/>
      <w:r>
        <w:rPr>
          <w:sz w:val="24"/>
        </w:rPr>
        <w:t xml:space="preserve">enured or </w:t>
      </w:r>
      <w:r>
        <w:rPr>
          <w:spacing w:val="-3"/>
          <w:sz w:val="24"/>
        </w:rPr>
        <w:t xml:space="preserve">tenure-track faculty, </w:t>
      </w:r>
      <w:r>
        <w:rPr>
          <w:sz w:val="24"/>
        </w:rPr>
        <w:t xml:space="preserve">to distinguished senior </w:t>
      </w:r>
      <w:r>
        <w:rPr>
          <w:spacing w:val="-3"/>
          <w:sz w:val="24"/>
        </w:rPr>
        <w:t xml:space="preserve">visitors </w:t>
      </w:r>
      <w:r>
        <w:rPr>
          <w:sz w:val="24"/>
        </w:rPr>
        <w:t xml:space="preserve">with heavily enrolled courses, or to other </w:t>
      </w:r>
      <w:r>
        <w:rPr>
          <w:spacing w:val="-3"/>
          <w:sz w:val="24"/>
        </w:rPr>
        <w:t xml:space="preserve">visiting </w:t>
      </w:r>
      <w:r>
        <w:rPr>
          <w:sz w:val="24"/>
        </w:rPr>
        <w:t xml:space="preserve">faculty who have a teaching load that is at least 50% higher </w:t>
      </w:r>
      <w:r>
        <w:rPr>
          <w:spacing w:val="-3"/>
          <w:sz w:val="24"/>
        </w:rPr>
        <w:t xml:space="preserve">than </w:t>
      </w:r>
      <w:r>
        <w:rPr>
          <w:sz w:val="24"/>
        </w:rPr>
        <w:t xml:space="preserve">that of </w:t>
      </w:r>
      <w:r>
        <w:rPr>
          <w:spacing w:val="-3"/>
          <w:sz w:val="24"/>
        </w:rPr>
        <w:t>tenure-track</w:t>
      </w:r>
      <w:r>
        <w:rPr>
          <w:spacing w:val="-40"/>
          <w:sz w:val="24"/>
        </w:rPr>
        <w:t xml:space="preserve"> </w:t>
      </w:r>
      <w:r>
        <w:rPr>
          <w:spacing w:val="-4"/>
          <w:sz w:val="24"/>
        </w:rPr>
        <w:t>faculty.</w:t>
      </w:r>
    </w:p>
    <w:p w14:paraId="719ACE20" w14:textId="77777777" w:rsidR="00BB76E1" w:rsidRDefault="007870DA">
      <w:pPr>
        <w:pStyle w:val="ListParagraph"/>
        <w:numPr>
          <w:ilvl w:val="0"/>
          <w:numId w:val="3"/>
        </w:numPr>
        <w:tabs>
          <w:tab w:val="left" w:pos="479"/>
          <w:tab w:val="left" w:pos="480"/>
        </w:tabs>
        <w:ind w:right="1283"/>
        <w:rPr>
          <w:sz w:val="24"/>
        </w:rPr>
      </w:pPr>
      <w:r>
        <w:rPr>
          <w:spacing w:val="-3"/>
          <w:sz w:val="24"/>
        </w:rPr>
        <w:t>If</w:t>
      </w:r>
      <w:r>
        <w:rPr>
          <w:spacing w:val="-1"/>
          <w:sz w:val="24"/>
        </w:rPr>
        <w:t xml:space="preserve"> </w:t>
      </w:r>
      <w:r>
        <w:rPr>
          <w:sz w:val="24"/>
        </w:rPr>
        <w:t>you</w:t>
      </w:r>
      <w:r>
        <w:rPr>
          <w:spacing w:val="-4"/>
          <w:sz w:val="24"/>
        </w:rPr>
        <w:t xml:space="preserve"> </w:t>
      </w:r>
      <w:r>
        <w:rPr>
          <w:sz w:val="24"/>
        </w:rPr>
        <w:t>are</w:t>
      </w:r>
      <w:r>
        <w:rPr>
          <w:spacing w:val="-5"/>
          <w:sz w:val="24"/>
        </w:rPr>
        <w:t xml:space="preserve"> </w:t>
      </w:r>
      <w:r>
        <w:rPr>
          <w:sz w:val="24"/>
        </w:rPr>
        <w:t>considering</w:t>
      </w:r>
      <w:r>
        <w:rPr>
          <w:spacing w:val="-7"/>
          <w:sz w:val="24"/>
        </w:rPr>
        <w:t xml:space="preserve"> </w:t>
      </w:r>
      <w:r>
        <w:rPr>
          <w:sz w:val="24"/>
        </w:rPr>
        <w:t>hiring</w:t>
      </w:r>
      <w:r>
        <w:rPr>
          <w:spacing w:val="-9"/>
          <w:sz w:val="24"/>
        </w:rPr>
        <w:t xml:space="preserve"> </w:t>
      </w:r>
      <w:r>
        <w:rPr>
          <w:sz w:val="24"/>
        </w:rPr>
        <w:t>an</w:t>
      </w:r>
      <w:r>
        <w:rPr>
          <w:spacing w:val="-7"/>
          <w:sz w:val="24"/>
        </w:rPr>
        <w:t xml:space="preserve"> </w:t>
      </w:r>
      <w:r>
        <w:rPr>
          <w:sz w:val="24"/>
        </w:rPr>
        <w:t>undergraduate</w:t>
      </w:r>
      <w:r>
        <w:rPr>
          <w:spacing w:val="-5"/>
          <w:sz w:val="24"/>
        </w:rPr>
        <w:t xml:space="preserve"> </w:t>
      </w:r>
      <w:r>
        <w:rPr>
          <w:sz w:val="24"/>
        </w:rPr>
        <w:t>student,</w:t>
      </w:r>
      <w:r>
        <w:rPr>
          <w:spacing w:val="-4"/>
          <w:sz w:val="24"/>
        </w:rPr>
        <w:t xml:space="preserve"> </w:t>
      </w:r>
      <w:r>
        <w:rPr>
          <w:spacing w:val="-3"/>
          <w:sz w:val="24"/>
        </w:rPr>
        <w:t>please</w:t>
      </w:r>
      <w:r>
        <w:rPr>
          <w:spacing w:val="-8"/>
          <w:sz w:val="24"/>
        </w:rPr>
        <w:t xml:space="preserve"> </w:t>
      </w:r>
      <w:r>
        <w:rPr>
          <w:sz w:val="24"/>
        </w:rPr>
        <w:t>refer</w:t>
      </w:r>
      <w:r>
        <w:rPr>
          <w:spacing w:val="-5"/>
          <w:sz w:val="24"/>
        </w:rPr>
        <w:t xml:space="preserve"> </w:t>
      </w:r>
      <w:r>
        <w:rPr>
          <w:sz w:val="24"/>
        </w:rPr>
        <w:t>to</w:t>
      </w:r>
      <w:r>
        <w:rPr>
          <w:spacing w:val="-5"/>
          <w:sz w:val="24"/>
        </w:rPr>
        <w:t xml:space="preserve"> </w:t>
      </w:r>
      <w:r>
        <w:rPr>
          <w:sz w:val="24"/>
        </w:rPr>
        <w:t>both</w:t>
      </w:r>
      <w:r>
        <w:rPr>
          <w:spacing w:val="-7"/>
          <w:sz w:val="24"/>
        </w:rPr>
        <w:t xml:space="preserve"> </w:t>
      </w:r>
      <w:r>
        <w:rPr>
          <w:sz w:val="24"/>
        </w:rPr>
        <w:t>of</w:t>
      </w:r>
      <w:r>
        <w:rPr>
          <w:spacing w:val="-5"/>
          <w:sz w:val="24"/>
        </w:rPr>
        <w:t xml:space="preserve"> </w:t>
      </w:r>
      <w:r>
        <w:rPr>
          <w:spacing w:val="-3"/>
          <w:sz w:val="24"/>
        </w:rPr>
        <w:t xml:space="preserve">the memos </w:t>
      </w:r>
      <w:r>
        <w:rPr>
          <w:sz w:val="24"/>
        </w:rPr>
        <w:t xml:space="preserve">regarding Undergraduates as </w:t>
      </w:r>
      <w:r>
        <w:rPr>
          <w:spacing w:val="-3"/>
          <w:sz w:val="24"/>
        </w:rPr>
        <w:t xml:space="preserve">Instructional </w:t>
      </w:r>
      <w:r>
        <w:rPr>
          <w:sz w:val="24"/>
        </w:rPr>
        <w:t xml:space="preserve">Aides, </w:t>
      </w:r>
      <w:r>
        <w:rPr>
          <w:spacing w:val="-3"/>
          <w:sz w:val="24"/>
        </w:rPr>
        <w:t xml:space="preserve">located </w:t>
      </w:r>
      <w:r>
        <w:rPr>
          <w:sz w:val="24"/>
        </w:rPr>
        <w:t xml:space="preserve">at </w:t>
      </w:r>
      <w:hyperlink r:id="rId7">
        <w:r>
          <w:rPr>
            <w:color w:val="0563C1"/>
            <w:sz w:val="24"/>
            <w:u w:val="single" w:color="0563C1"/>
          </w:rPr>
          <w:t>https://clas.uiowa.edu/faculty/undergraduate-teaching-assistants</w:t>
        </w:r>
      </w:hyperlink>
      <w:r>
        <w:rPr>
          <w:sz w:val="24"/>
        </w:rPr>
        <w:t>.</w:t>
      </w:r>
    </w:p>
    <w:p w14:paraId="5AE289D9" w14:textId="77777777" w:rsidR="00BB76E1" w:rsidRDefault="007870DA">
      <w:pPr>
        <w:pStyle w:val="ListParagraph"/>
        <w:numPr>
          <w:ilvl w:val="0"/>
          <w:numId w:val="3"/>
        </w:numPr>
        <w:tabs>
          <w:tab w:val="left" w:pos="479"/>
          <w:tab w:val="left" w:pos="480"/>
        </w:tabs>
        <w:spacing w:before="2"/>
        <w:ind w:right="498"/>
        <w:rPr>
          <w:sz w:val="24"/>
        </w:rPr>
      </w:pPr>
      <w:r>
        <w:rPr>
          <w:sz w:val="24"/>
        </w:rPr>
        <w:t xml:space="preserve">The total work assignment for a TA (1 HTE) is an average of 20 hours per </w:t>
      </w:r>
      <w:r>
        <w:rPr>
          <w:spacing w:val="-3"/>
          <w:sz w:val="24"/>
        </w:rPr>
        <w:t xml:space="preserve">week. Appointments </w:t>
      </w:r>
      <w:r>
        <w:rPr>
          <w:sz w:val="24"/>
        </w:rPr>
        <w:t xml:space="preserve">of less than 1 HTE should bear </w:t>
      </w:r>
      <w:r>
        <w:rPr>
          <w:spacing w:val="-3"/>
          <w:sz w:val="24"/>
        </w:rPr>
        <w:t xml:space="preserve">assignments </w:t>
      </w:r>
      <w:r>
        <w:rPr>
          <w:sz w:val="24"/>
        </w:rPr>
        <w:t xml:space="preserve">in which total hours per week are proportionate to the </w:t>
      </w:r>
      <w:r>
        <w:rPr>
          <w:spacing w:val="-3"/>
          <w:sz w:val="24"/>
        </w:rPr>
        <w:t xml:space="preserve">reduction </w:t>
      </w:r>
      <w:r>
        <w:rPr>
          <w:sz w:val="24"/>
        </w:rPr>
        <w:t>from 1</w:t>
      </w:r>
      <w:r>
        <w:rPr>
          <w:spacing w:val="-41"/>
          <w:sz w:val="24"/>
        </w:rPr>
        <w:t xml:space="preserve"> </w:t>
      </w:r>
      <w:r>
        <w:rPr>
          <w:sz w:val="24"/>
        </w:rPr>
        <w:t>HTE.</w:t>
      </w:r>
    </w:p>
    <w:p w14:paraId="3FCF3D26" w14:textId="77777777" w:rsidR="00BB76E1" w:rsidRDefault="007870DA">
      <w:pPr>
        <w:pStyle w:val="ListParagraph"/>
        <w:numPr>
          <w:ilvl w:val="0"/>
          <w:numId w:val="3"/>
        </w:numPr>
        <w:tabs>
          <w:tab w:val="left" w:pos="479"/>
          <w:tab w:val="left" w:pos="480"/>
        </w:tabs>
        <w:ind w:right="593"/>
        <w:rPr>
          <w:sz w:val="24"/>
        </w:rPr>
      </w:pPr>
      <w:r>
        <w:rPr>
          <w:sz w:val="24"/>
        </w:rPr>
        <w:t xml:space="preserve">The standard percentages for appointments are as follows: 25%, 33%, 37.5%, 50%, 62.5%, 66.7% and 75%.  Dean Getz’s approval is not needed for appointing </w:t>
      </w:r>
      <w:r>
        <w:rPr>
          <w:spacing w:val="-4"/>
          <w:sz w:val="24"/>
        </w:rPr>
        <w:t xml:space="preserve">an </w:t>
      </w:r>
      <w:r>
        <w:rPr>
          <w:spacing w:val="-3"/>
          <w:sz w:val="24"/>
        </w:rPr>
        <w:t xml:space="preserve">employee </w:t>
      </w:r>
      <w:r>
        <w:rPr>
          <w:sz w:val="24"/>
        </w:rPr>
        <w:t xml:space="preserve">to a percentage other than standard if the </w:t>
      </w:r>
      <w:r>
        <w:rPr>
          <w:spacing w:val="-3"/>
          <w:sz w:val="24"/>
        </w:rPr>
        <w:t xml:space="preserve">appointment </w:t>
      </w:r>
      <w:r>
        <w:rPr>
          <w:sz w:val="24"/>
        </w:rPr>
        <w:t xml:space="preserve">is below 50%. Any appointment that, alone or combined with an </w:t>
      </w:r>
      <w:r>
        <w:rPr>
          <w:spacing w:val="-3"/>
          <w:sz w:val="24"/>
        </w:rPr>
        <w:t xml:space="preserve">appointment </w:t>
      </w:r>
      <w:r>
        <w:rPr>
          <w:sz w:val="24"/>
        </w:rPr>
        <w:t xml:space="preserve">in another </w:t>
      </w:r>
      <w:r>
        <w:rPr>
          <w:spacing w:val="-3"/>
          <w:sz w:val="24"/>
        </w:rPr>
        <w:t xml:space="preserve">department, </w:t>
      </w:r>
      <w:r>
        <w:rPr>
          <w:sz w:val="24"/>
        </w:rPr>
        <w:t xml:space="preserve">causes an </w:t>
      </w:r>
      <w:r>
        <w:rPr>
          <w:spacing w:val="-3"/>
          <w:sz w:val="24"/>
        </w:rPr>
        <w:t xml:space="preserve">employee </w:t>
      </w:r>
      <w:r>
        <w:rPr>
          <w:sz w:val="24"/>
        </w:rPr>
        <w:t xml:space="preserve">to have a standard percent of appointment greater than 50% needs </w:t>
      </w:r>
      <w:r>
        <w:rPr>
          <w:spacing w:val="-3"/>
          <w:sz w:val="24"/>
        </w:rPr>
        <w:t xml:space="preserve">prior </w:t>
      </w:r>
      <w:r>
        <w:rPr>
          <w:sz w:val="24"/>
        </w:rPr>
        <w:t xml:space="preserve">approval from both Dean Getz and Dean </w:t>
      </w:r>
      <w:r>
        <w:rPr>
          <w:spacing w:val="-3"/>
          <w:sz w:val="24"/>
        </w:rPr>
        <w:t xml:space="preserve">Campo </w:t>
      </w:r>
      <w:r>
        <w:rPr>
          <w:sz w:val="24"/>
        </w:rPr>
        <w:t xml:space="preserve">in the </w:t>
      </w:r>
      <w:r>
        <w:rPr>
          <w:spacing w:val="-3"/>
          <w:sz w:val="24"/>
        </w:rPr>
        <w:t xml:space="preserve">Graduate College. </w:t>
      </w:r>
      <w:r>
        <w:rPr>
          <w:sz w:val="24"/>
        </w:rPr>
        <w:t>Most foreign graduate</w:t>
      </w:r>
      <w:r>
        <w:rPr>
          <w:spacing w:val="-8"/>
          <w:sz w:val="24"/>
        </w:rPr>
        <w:t xml:space="preserve"> </w:t>
      </w:r>
      <w:r>
        <w:rPr>
          <w:sz w:val="24"/>
        </w:rPr>
        <w:t>students</w:t>
      </w:r>
      <w:r>
        <w:rPr>
          <w:spacing w:val="-4"/>
          <w:sz w:val="24"/>
        </w:rPr>
        <w:t xml:space="preserve"> </w:t>
      </w:r>
      <w:r>
        <w:rPr>
          <w:sz w:val="24"/>
        </w:rPr>
        <w:t>have</w:t>
      </w:r>
      <w:r>
        <w:rPr>
          <w:spacing w:val="-5"/>
          <w:sz w:val="24"/>
        </w:rPr>
        <w:t xml:space="preserve"> </w:t>
      </w:r>
      <w:r>
        <w:rPr>
          <w:spacing w:val="-3"/>
          <w:sz w:val="24"/>
        </w:rPr>
        <w:t>visas</w:t>
      </w:r>
      <w:r>
        <w:rPr>
          <w:spacing w:val="-7"/>
          <w:sz w:val="24"/>
        </w:rPr>
        <w:t xml:space="preserve"> </w:t>
      </w:r>
      <w:r>
        <w:rPr>
          <w:sz w:val="24"/>
        </w:rPr>
        <w:t>that</w:t>
      </w:r>
      <w:r>
        <w:rPr>
          <w:spacing w:val="-6"/>
          <w:sz w:val="24"/>
        </w:rPr>
        <w:t xml:space="preserve"> </w:t>
      </w:r>
      <w:r>
        <w:rPr>
          <w:sz w:val="24"/>
        </w:rPr>
        <w:t>do</w:t>
      </w:r>
      <w:r>
        <w:rPr>
          <w:spacing w:val="-4"/>
          <w:sz w:val="24"/>
        </w:rPr>
        <w:t xml:space="preserve"> </w:t>
      </w:r>
      <w:r>
        <w:rPr>
          <w:sz w:val="24"/>
        </w:rPr>
        <w:t>not</w:t>
      </w:r>
      <w:r>
        <w:rPr>
          <w:spacing w:val="-6"/>
          <w:sz w:val="24"/>
        </w:rPr>
        <w:t xml:space="preserve"> </w:t>
      </w:r>
      <w:r>
        <w:rPr>
          <w:sz w:val="24"/>
        </w:rPr>
        <w:t>permit</w:t>
      </w:r>
      <w:r>
        <w:rPr>
          <w:spacing w:val="-6"/>
          <w:sz w:val="24"/>
        </w:rPr>
        <w:t xml:space="preserve"> </w:t>
      </w:r>
      <w:r>
        <w:rPr>
          <w:sz w:val="24"/>
        </w:rPr>
        <w:t>them</w:t>
      </w:r>
      <w:r>
        <w:rPr>
          <w:spacing w:val="-9"/>
          <w:sz w:val="24"/>
        </w:rPr>
        <w:t xml:space="preserve"> </w:t>
      </w:r>
      <w:r>
        <w:rPr>
          <w:sz w:val="24"/>
        </w:rPr>
        <w:t>to</w:t>
      </w:r>
      <w:r>
        <w:rPr>
          <w:spacing w:val="-4"/>
          <w:sz w:val="24"/>
        </w:rPr>
        <w:t xml:space="preserve"> </w:t>
      </w:r>
      <w:r>
        <w:rPr>
          <w:sz w:val="24"/>
        </w:rPr>
        <w:t>hold</w:t>
      </w:r>
      <w:r>
        <w:rPr>
          <w:spacing w:val="-4"/>
          <w:sz w:val="24"/>
        </w:rPr>
        <w:t xml:space="preserve"> </w:t>
      </w:r>
      <w:r>
        <w:rPr>
          <w:sz w:val="24"/>
        </w:rPr>
        <w:t>any</w:t>
      </w:r>
      <w:r>
        <w:rPr>
          <w:spacing w:val="-15"/>
          <w:sz w:val="24"/>
        </w:rPr>
        <w:t xml:space="preserve"> </w:t>
      </w:r>
      <w:r>
        <w:rPr>
          <w:sz w:val="24"/>
        </w:rPr>
        <w:t>appointment</w:t>
      </w:r>
      <w:r>
        <w:rPr>
          <w:spacing w:val="-6"/>
          <w:sz w:val="24"/>
        </w:rPr>
        <w:t xml:space="preserve"> </w:t>
      </w:r>
      <w:r>
        <w:rPr>
          <w:sz w:val="24"/>
        </w:rPr>
        <w:t>over</w:t>
      </w:r>
      <w:r>
        <w:rPr>
          <w:spacing w:val="-8"/>
          <w:sz w:val="24"/>
        </w:rPr>
        <w:t xml:space="preserve"> </w:t>
      </w:r>
      <w:r>
        <w:rPr>
          <w:sz w:val="24"/>
        </w:rPr>
        <w:t xml:space="preserve">50%. Requests to make appointments greater than 50% are made by the DGS or DEO, and </w:t>
      </w:r>
      <w:r>
        <w:rPr>
          <w:b/>
          <w:sz w:val="24"/>
        </w:rPr>
        <w:t xml:space="preserve">must </w:t>
      </w:r>
      <w:r>
        <w:rPr>
          <w:sz w:val="24"/>
        </w:rPr>
        <w:t>address the</w:t>
      </w:r>
      <w:r>
        <w:rPr>
          <w:spacing w:val="-36"/>
          <w:sz w:val="24"/>
        </w:rPr>
        <w:t xml:space="preserve"> </w:t>
      </w:r>
      <w:r>
        <w:rPr>
          <w:sz w:val="24"/>
        </w:rPr>
        <w:t>following:</w:t>
      </w:r>
    </w:p>
    <w:p w14:paraId="0C69A330" w14:textId="77777777" w:rsidR="00BB76E1" w:rsidRDefault="007870DA">
      <w:pPr>
        <w:pStyle w:val="ListParagraph"/>
        <w:numPr>
          <w:ilvl w:val="1"/>
          <w:numId w:val="3"/>
        </w:numPr>
        <w:tabs>
          <w:tab w:val="left" w:pos="718"/>
        </w:tabs>
        <w:ind w:hanging="237"/>
        <w:rPr>
          <w:sz w:val="24"/>
        </w:rPr>
      </w:pPr>
      <w:r>
        <w:rPr>
          <w:sz w:val="24"/>
        </w:rPr>
        <w:t>the</w:t>
      </w:r>
      <w:r>
        <w:rPr>
          <w:spacing w:val="-11"/>
          <w:sz w:val="24"/>
        </w:rPr>
        <w:t xml:space="preserve"> </w:t>
      </w:r>
      <w:r>
        <w:rPr>
          <w:sz w:val="24"/>
        </w:rPr>
        <w:t>potential</w:t>
      </w:r>
      <w:r>
        <w:rPr>
          <w:spacing w:val="-8"/>
          <w:sz w:val="24"/>
        </w:rPr>
        <w:t xml:space="preserve"> </w:t>
      </w:r>
      <w:r>
        <w:rPr>
          <w:i/>
          <w:sz w:val="24"/>
        </w:rPr>
        <w:t>academic</w:t>
      </w:r>
      <w:r>
        <w:rPr>
          <w:i/>
          <w:spacing w:val="-13"/>
          <w:sz w:val="24"/>
        </w:rPr>
        <w:t xml:space="preserve"> </w:t>
      </w:r>
      <w:r>
        <w:rPr>
          <w:i/>
          <w:sz w:val="24"/>
        </w:rPr>
        <w:t>benefit</w:t>
      </w:r>
      <w:r>
        <w:rPr>
          <w:i/>
          <w:spacing w:val="-9"/>
          <w:sz w:val="24"/>
        </w:rPr>
        <w:t xml:space="preserve"> </w:t>
      </w:r>
      <w:r>
        <w:rPr>
          <w:sz w:val="24"/>
        </w:rPr>
        <w:t>to</w:t>
      </w:r>
      <w:r>
        <w:rPr>
          <w:spacing w:val="-10"/>
          <w:sz w:val="24"/>
        </w:rPr>
        <w:t xml:space="preserve"> </w:t>
      </w:r>
      <w:r>
        <w:rPr>
          <w:sz w:val="24"/>
        </w:rPr>
        <w:t>the</w:t>
      </w:r>
      <w:r>
        <w:rPr>
          <w:spacing w:val="-11"/>
          <w:sz w:val="24"/>
        </w:rPr>
        <w:t xml:space="preserve"> </w:t>
      </w:r>
      <w:r>
        <w:rPr>
          <w:sz w:val="24"/>
        </w:rPr>
        <w:t>student</w:t>
      </w:r>
      <w:r>
        <w:rPr>
          <w:spacing w:val="-9"/>
          <w:sz w:val="24"/>
        </w:rPr>
        <w:t xml:space="preserve"> </w:t>
      </w:r>
      <w:r>
        <w:rPr>
          <w:sz w:val="24"/>
        </w:rPr>
        <w:t>from</w:t>
      </w:r>
      <w:r>
        <w:rPr>
          <w:spacing w:val="-9"/>
          <w:sz w:val="24"/>
        </w:rPr>
        <w:t xml:space="preserve"> </w:t>
      </w:r>
      <w:r>
        <w:rPr>
          <w:sz w:val="24"/>
        </w:rPr>
        <w:t>the</w:t>
      </w:r>
      <w:r>
        <w:rPr>
          <w:spacing w:val="-11"/>
          <w:sz w:val="24"/>
        </w:rPr>
        <w:t xml:space="preserve"> </w:t>
      </w:r>
      <w:r>
        <w:rPr>
          <w:sz w:val="24"/>
        </w:rPr>
        <w:t>additional</w:t>
      </w:r>
      <w:r>
        <w:rPr>
          <w:spacing w:val="-8"/>
          <w:sz w:val="24"/>
        </w:rPr>
        <w:t xml:space="preserve"> </w:t>
      </w:r>
      <w:r>
        <w:rPr>
          <w:sz w:val="24"/>
        </w:rPr>
        <w:t>appointment</w:t>
      </w:r>
    </w:p>
    <w:p w14:paraId="4BA62DBF" w14:textId="77777777" w:rsidR="00BB76E1" w:rsidRDefault="007870DA">
      <w:pPr>
        <w:pStyle w:val="ListParagraph"/>
        <w:numPr>
          <w:ilvl w:val="1"/>
          <w:numId w:val="3"/>
        </w:numPr>
        <w:tabs>
          <w:tab w:val="left" w:pos="718"/>
        </w:tabs>
        <w:ind w:hanging="237"/>
        <w:rPr>
          <w:sz w:val="24"/>
        </w:rPr>
      </w:pPr>
      <w:r>
        <w:rPr>
          <w:sz w:val="24"/>
        </w:rPr>
        <w:t>the</w:t>
      </w:r>
      <w:r>
        <w:rPr>
          <w:spacing w:val="-13"/>
          <w:sz w:val="24"/>
        </w:rPr>
        <w:t xml:space="preserve"> </w:t>
      </w:r>
      <w:r>
        <w:rPr>
          <w:sz w:val="24"/>
        </w:rPr>
        <w:t>student’s</w:t>
      </w:r>
      <w:r>
        <w:rPr>
          <w:spacing w:val="-12"/>
          <w:sz w:val="24"/>
        </w:rPr>
        <w:t xml:space="preserve"> </w:t>
      </w:r>
      <w:r>
        <w:rPr>
          <w:i/>
          <w:sz w:val="24"/>
        </w:rPr>
        <w:t>current</w:t>
      </w:r>
      <w:r>
        <w:rPr>
          <w:i/>
          <w:spacing w:val="-12"/>
          <w:sz w:val="24"/>
        </w:rPr>
        <w:t xml:space="preserve"> </w:t>
      </w:r>
      <w:r>
        <w:rPr>
          <w:i/>
          <w:sz w:val="24"/>
        </w:rPr>
        <w:t>progress</w:t>
      </w:r>
      <w:r>
        <w:rPr>
          <w:i/>
          <w:spacing w:val="-12"/>
          <w:sz w:val="24"/>
        </w:rPr>
        <w:t xml:space="preserve"> </w:t>
      </w:r>
      <w:r>
        <w:rPr>
          <w:sz w:val="24"/>
        </w:rPr>
        <w:t>toward</w:t>
      </w:r>
      <w:r>
        <w:rPr>
          <w:spacing w:val="-12"/>
          <w:sz w:val="24"/>
        </w:rPr>
        <w:t xml:space="preserve"> </w:t>
      </w:r>
      <w:r>
        <w:rPr>
          <w:sz w:val="24"/>
        </w:rPr>
        <w:t>degree</w:t>
      </w:r>
      <w:r>
        <w:rPr>
          <w:spacing w:val="-11"/>
          <w:sz w:val="24"/>
        </w:rPr>
        <w:t xml:space="preserve"> </w:t>
      </w:r>
      <w:r>
        <w:rPr>
          <w:sz w:val="24"/>
        </w:rPr>
        <w:t>completion</w:t>
      </w:r>
    </w:p>
    <w:p w14:paraId="4135D2E6" w14:textId="77777777" w:rsidR="00BB76E1" w:rsidRDefault="007870DA">
      <w:pPr>
        <w:pStyle w:val="ListParagraph"/>
        <w:numPr>
          <w:ilvl w:val="1"/>
          <w:numId w:val="3"/>
        </w:numPr>
        <w:tabs>
          <w:tab w:val="left" w:pos="718"/>
        </w:tabs>
        <w:ind w:hanging="237"/>
        <w:rPr>
          <w:i/>
          <w:sz w:val="24"/>
        </w:rPr>
      </w:pPr>
      <w:r>
        <w:rPr>
          <w:sz w:val="24"/>
        </w:rPr>
        <w:t>the</w:t>
      </w:r>
      <w:r>
        <w:rPr>
          <w:spacing w:val="-10"/>
          <w:sz w:val="24"/>
        </w:rPr>
        <w:t xml:space="preserve"> </w:t>
      </w:r>
      <w:r>
        <w:rPr>
          <w:sz w:val="24"/>
        </w:rPr>
        <w:t>effect</w:t>
      </w:r>
      <w:r>
        <w:rPr>
          <w:spacing w:val="-9"/>
          <w:sz w:val="24"/>
        </w:rPr>
        <w:t xml:space="preserve"> </w:t>
      </w:r>
      <w:r>
        <w:rPr>
          <w:sz w:val="24"/>
        </w:rPr>
        <w:t>of</w:t>
      </w:r>
      <w:r>
        <w:rPr>
          <w:spacing w:val="-10"/>
          <w:sz w:val="24"/>
        </w:rPr>
        <w:t xml:space="preserve"> </w:t>
      </w:r>
      <w:r>
        <w:rPr>
          <w:sz w:val="24"/>
        </w:rPr>
        <w:t>the</w:t>
      </w:r>
      <w:r>
        <w:rPr>
          <w:spacing w:val="-10"/>
          <w:sz w:val="24"/>
        </w:rPr>
        <w:t xml:space="preserve"> </w:t>
      </w:r>
      <w:r>
        <w:rPr>
          <w:sz w:val="24"/>
        </w:rPr>
        <w:t>additional</w:t>
      </w:r>
      <w:r>
        <w:rPr>
          <w:spacing w:val="-9"/>
          <w:sz w:val="24"/>
        </w:rPr>
        <w:t xml:space="preserve"> </w:t>
      </w:r>
      <w:r>
        <w:rPr>
          <w:sz w:val="24"/>
        </w:rPr>
        <w:t>appointment</w:t>
      </w:r>
      <w:r>
        <w:rPr>
          <w:spacing w:val="-9"/>
          <w:sz w:val="24"/>
        </w:rPr>
        <w:t xml:space="preserve"> </w:t>
      </w:r>
      <w:r>
        <w:rPr>
          <w:sz w:val="24"/>
        </w:rPr>
        <w:t>on</w:t>
      </w:r>
      <w:r>
        <w:rPr>
          <w:spacing w:val="-9"/>
          <w:sz w:val="24"/>
        </w:rPr>
        <w:t xml:space="preserve"> </w:t>
      </w:r>
      <w:r>
        <w:rPr>
          <w:sz w:val="24"/>
        </w:rPr>
        <w:t>the</w:t>
      </w:r>
      <w:r>
        <w:rPr>
          <w:spacing w:val="-10"/>
          <w:sz w:val="24"/>
        </w:rPr>
        <w:t xml:space="preserve"> </w:t>
      </w:r>
      <w:r>
        <w:rPr>
          <w:sz w:val="24"/>
        </w:rPr>
        <w:t>student’s</w:t>
      </w:r>
      <w:r>
        <w:rPr>
          <w:spacing w:val="-9"/>
          <w:sz w:val="24"/>
        </w:rPr>
        <w:t xml:space="preserve"> </w:t>
      </w:r>
      <w:r>
        <w:rPr>
          <w:i/>
          <w:sz w:val="24"/>
        </w:rPr>
        <w:t>future</w:t>
      </w:r>
      <w:r>
        <w:rPr>
          <w:i/>
          <w:spacing w:val="-8"/>
          <w:sz w:val="24"/>
        </w:rPr>
        <w:t xml:space="preserve"> </w:t>
      </w:r>
      <w:r>
        <w:rPr>
          <w:i/>
          <w:sz w:val="24"/>
        </w:rPr>
        <w:t>progress</w:t>
      </w:r>
    </w:p>
    <w:p w14:paraId="48E8AB94" w14:textId="77777777" w:rsidR="00BB76E1" w:rsidRDefault="007870DA">
      <w:pPr>
        <w:pStyle w:val="ListParagraph"/>
        <w:numPr>
          <w:ilvl w:val="0"/>
          <w:numId w:val="3"/>
        </w:numPr>
        <w:tabs>
          <w:tab w:val="left" w:pos="479"/>
          <w:tab w:val="left" w:pos="480"/>
        </w:tabs>
        <w:ind w:right="633"/>
        <w:rPr>
          <w:sz w:val="24"/>
        </w:rPr>
      </w:pPr>
      <w:r>
        <w:rPr>
          <w:sz w:val="24"/>
        </w:rPr>
        <w:t>If you wish to appoint a graduate student enrolled in a degree program in another department or school, please contact the DGS of the department or school in which the student is enrolled BEFORE making the appointment to ascertain whether the graduate student already has an appointment. The combined appointments of a graduate student are limited to 50% unless permission for an overload is granted in advance by Deans Getz and</w:t>
      </w:r>
      <w:r>
        <w:rPr>
          <w:spacing w:val="-4"/>
          <w:sz w:val="24"/>
        </w:rPr>
        <w:t xml:space="preserve"> </w:t>
      </w:r>
      <w:r>
        <w:rPr>
          <w:sz w:val="24"/>
        </w:rPr>
        <w:t>Campo.</w:t>
      </w:r>
    </w:p>
    <w:p w14:paraId="210B276E" w14:textId="0CB4B239" w:rsidR="00BB76E1" w:rsidRDefault="007870DA">
      <w:pPr>
        <w:pStyle w:val="ListParagraph"/>
        <w:numPr>
          <w:ilvl w:val="0"/>
          <w:numId w:val="3"/>
        </w:numPr>
        <w:tabs>
          <w:tab w:val="left" w:pos="479"/>
          <w:tab w:val="left" w:pos="480"/>
        </w:tabs>
        <w:spacing w:before="2"/>
        <w:ind w:right="603"/>
        <w:rPr>
          <w:sz w:val="24"/>
        </w:rPr>
      </w:pPr>
      <w:r>
        <w:rPr>
          <w:sz w:val="24"/>
        </w:rPr>
        <w:t>Teaching</w:t>
      </w:r>
      <w:r>
        <w:rPr>
          <w:spacing w:val="-9"/>
          <w:sz w:val="24"/>
        </w:rPr>
        <w:t xml:space="preserve"> </w:t>
      </w:r>
      <w:r>
        <w:rPr>
          <w:sz w:val="24"/>
        </w:rPr>
        <w:t>assistantships</w:t>
      </w:r>
      <w:r>
        <w:rPr>
          <w:spacing w:val="-4"/>
          <w:sz w:val="24"/>
        </w:rPr>
        <w:t xml:space="preserve"> </w:t>
      </w:r>
      <w:r>
        <w:rPr>
          <w:sz w:val="24"/>
        </w:rPr>
        <w:t>from</w:t>
      </w:r>
      <w:r>
        <w:rPr>
          <w:spacing w:val="-6"/>
          <w:sz w:val="24"/>
        </w:rPr>
        <w:t xml:space="preserve"> </w:t>
      </w:r>
      <w:r>
        <w:rPr>
          <w:sz w:val="24"/>
        </w:rPr>
        <w:t>this</w:t>
      </w:r>
      <w:r>
        <w:rPr>
          <w:spacing w:val="-4"/>
          <w:sz w:val="24"/>
        </w:rPr>
        <w:t xml:space="preserve"> </w:t>
      </w:r>
      <w:r>
        <w:rPr>
          <w:spacing w:val="-3"/>
          <w:sz w:val="24"/>
        </w:rPr>
        <w:t>allocation</w:t>
      </w:r>
      <w:r>
        <w:rPr>
          <w:spacing w:val="-7"/>
          <w:sz w:val="24"/>
        </w:rPr>
        <w:t xml:space="preserve"> </w:t>
      </w:r>
      <w:r>
        <w:rPr>
          <w:sz w:val="24"/>
        </w:rPr>
        <w:t>are</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pacing w:val="-3"/>
          <w:sz w:val="24"/>
        </w:rPr>
        <w:t>academic</w:t>
      </w:r>
      <w:r>
        <w:rPr>
          <w:spacing w:val="-2"/>
          <w:sz w:val="24"/>
        </w:rPr>
        <w:t xml:space="preserve"> </w:t>
      </w:r>
      <w:r>
        <w:rPr>
          <w:spacing w:val="-4"/>
          <w:sz w:val="24"/>
        </w:rPr>
        <w:t>year</w:t>
      </w:r>
      <w:r>
        <w:rPr>
          <w:spacing w:val="-8"/>
          <w:sz w:val="24"/>
        </w:rPr>
        <w:t xml:space="preserve"> </w:t>
      </w:r>
      <w:r>
        <w:rPr>
          <w:sz w:val="24"/>
        </w:rPr>
        <w:t>only;</w:t>
      </w:r>
      <w:r>
        <w:rPr>
          <w:spacing w:val="-4"/>
          <w:sz w:val="24"/>
        </w:rPr>
        <w:t xml:space="preserve"> </w:t>
      </w:r>
      <w:r>
        <w:rPr>
          <w:sz w:val="24"/>
        </w:rPr>
        <w:t xml:space="preserve">appointment </w:t>
      </w:r>
      <w:r>
        <w:rPr>
          <w:spacing w:val="-3"/>
          <w:sz w:val="24"/>
        </w:rPr>
        <w:t xml:space="preserve">forms </w:t>
      </w:r>
      <w:r>
        <w:rPr>
          <w:sz w:val="24"/>
        </w:rPr>
        <w:t xml:space="preserve">covering </w:t>
      </w:r>
      <w:r>
        <w:rPr>
          <w:spacing w:val="-3"/>
          <w:sz w:val="24"/>
        </w:rPr>
        <w:t xml:space="preserve">summer </w:t>
      </w:r>
      <w:r>
        <w:rPr>
          <w:sz w:val="24"/>
        </w:rPr>
        <w:t xml:space="preserve">will not be processed unless </w:t>
      </w:r>
      <w:r>
        <w:rPr>
          <w:spacing w:val="-3"/>
          <w:sz w:val="24"/>
        </w:rPr>
        <w:t xml:space="preserve">you </w:t>
      </w:r>
      <w:r>
        <w:rPr>
          <w:sz w:val="24"/>
        </w:rPr>
        <w:t xml:space="preserve">have obtained advance </w:t>
      </w:r>
      <w:r>
        <w:rPr>
          <w:spacing w:val="-3"/>
          <w:sz w:val="24"/>
        </w:rPr>
        <w:t>authorization</w:t>
      </w:r>
      <w:r w:rsidR="00697DBA">
        <w:rPr>
          <w:spacing w:val="-3"/>
          <w:sz w:val="24"/>
        </w:rPr>
        <w:t xml:space="preserve"> to appoint TAs</w:t>
      </w:r>
      <w:r>
        <w:rPr>
          <w:spacing w:val="-3"/>
          <w:sz w:val="24"/>
        </w:rPr>
        <w:t xml:space="preserve"> </w:t>
      </w:r>
      <w:r w:rsidR="00697DBA">
        <w:rPr>
          <w:sz w:val="24"/>
        </w:rPr>
        <w:t>for the Summer Session via CLAS</w:t>
      </w:r>
      <w:r>
        <w:rPr>
          <w:spacing w:val="-3"/>
          <w:sz w:val="24"/>
        </w:rPr>
        <w:t>.</w:t>
      </w:r>
    </w:p>
    <w:p w14:paraId="43F4788F" w14:textId="77777777" w:rsidR="00BB76E1" w:rsidRDefault="00BB76E1">
      <w:pPr>
        <w:pStyle w:val="BodyText"/>
        <w:rPr>
          <w:sz w:val="26"/>
        </w:rPr>
      </w:pPr>
    </w:p>
    <w:p w14:paraId="14C1D860" w14:textId="77777777" w:rsidR="00BB76E1" w:rsidRDefault="007870DA">
      <w:pPr>
        <w:pStyle w:val="Heading1"/>
        <w:spacing w:before="151" w:line="269" w:lineRule="exact"/>
        <w:ind w:left="119"/>
      </w:pPr>
      <w:bookmarkStart w:id="2" w:name="The_Use_of_Teaching_Assistants_as_Primar"/>
      <w:bookmarkEnd w:id="2"/>
      <w:r>
        <w:t>The Use of Teaching Assistants as Primary Instructors</w:t>
      </w:r>
    </w:p>
    <w:p w14:paraId="6B9686DB" w14:textId="77777777" w:rsidR="00BB76E1" w:rsidRDefault="007870DA">
      <w:pPr>
        <w:pStyle w:val="ListParagraph"/>
        <w:numPr>
          <w:ilvl w:val="0"/>
          <w:numId w:val="3"/>
        </w:numPr>
        <w:tabs>
          <w:tab w:val="left" w:pos="479"/>
          <w:tab w:val="left" w:pos="480"/>
        </w:tabs>
        <w:ind w:right="1355"/>
        <w:rPr>
          <w:sz w:val="24"/>
        </w:rPr>
      </w:pPr>
      <w:r>
        <w:rPr>
          <w:sz w:val="24"/>
        </w:rPr>
        <w:t xml:space="preserve">TAs should be primary instructors only in lower-division courses with </w:t>
      </w:r>
      <w:r>
        <w:rPr>
          <w:spacing w:val="-3"/>
          <w:sz w:val="24"/>
        </w:rPr>
        <w:t xml:space="preserve">small </w:t>
      </w:r>
      <w:r>
        <w:rPr>
          <w:sz w:val="24"/>
        </w:rPr>
        <w:t xml:space="preserve">enrollments in which students are expected to do </w:t>
      </w:r>
      <w:r>
        <w:rPr>
          <w:spacing w:val="-3"/>
          <w:sz w:val="24"/>
        </w:rPr>
        <w:t xml:space="preserve">extensive </w:t>
      </w:r>
      <w:r>
        <w:rPr>
          <w:sz w:val="24"/>
        </w:rPr>
        <w:t>writing or</w:t>
      </w:r>
      <w:r>
        <w:rPr>
          <w:spacing w:val="-9"/>
          <w:sz w:val="24"/>
        </w:rPr>
        <w:t xml:space="preserve"> </w:t>
      </w:r>
      <w:r>
        <w:rPr>
          <w:spacing w:val="-3"/>
          <w:sz w:val="24"/>
        </w:rPr>
        <w:t>recitation.</w:t>
      </w:r>
    </w:p>
    <w:p w14:paraId="08C0714E" w14:textId="77777777" w:rsidR="00BB76E1" w:rsidRDefault="007870DA">
      <w:pPr>
        <w:pStyle w:val="ListParagraph"/>
        <w:numPr>
          <w:ilvl w:val="0"/>
          <w:numId w:val="3"/>
        </w:numPr>
        <w:tabs>
          <w:tab w:val="left" w:pos="479"/>
          <w:tab w:val="left" w:pos="480"/>
        </w:tabs>
        <w:spacing w:before="17" w:line="244" w:lineRule="exact"/>
        <w:ind w:right="154"/>
        <w:rPr>
          <w:sz w:val="24"/>
        </w:rPr>
      </w:pPr>
      <w:r>
        <w:rPr>
          <w:spacing w:val="-3"/>
          <w:sz w:val="24"/>
        </w:rPr>
        <w:t xml:space="preserve">It </w:t>
      </w:r>
      <w:r>
        <w:rPr>
          <w:sz w:val="24"/>
        </w:rPr>
        <w:t>is</w:t>
      </w:r>
      <w:r>
        <w:rPr>
          <w:spacing w:val="-3"/>
          <w:sz w:val="24"/>
        </w:rPr>
        <w:t xml:space="preserve"> </w:t>
      </w:r>
      <w:r>
        <w:rPr>
          <w:sz w:val="24"/>
        </w:rPr>
        <w:t>not</w:t>
      </w:r>
      <w:r>
        <w:rPr>
          <w:spacing w:val="-3"/>
          <w:sz w:val="24"/>
        </w:rPr>
        <w:t xml:space="preserve"> </w:t>
      </w:r>
      <w:r>
        <w:rPr>
          <w:sz w:val="24"/>
        </w:rPr>
        <w:t>appropriate</w:t>
      </w:r>
      <w:r>
        <w:rPr>
          <w:spacing w:val="-4"/>
          <w:sz w:val="24"/>
        </w:rPr>
        <w:t xml:space="preserve"> </w:t>
      </w:r>
      <w:r>
        <w:rPr>
          <w:sz w:val="24"/>
        </w:rPr>
        <w:t>to</w:t>
      </w:r>
      <w:r>
        <w:rPr>
          <w:spacing w:val="-3"/>
          <w:sz w:val="24"/>
        </w:rPr>
        <w:t xml:space="preserve"> </w:t>
      </w:r>
      <w:r>
        <w:rPr>
          <w:sz w:val="24"/>
        </w:rPr>
        <w:t>assign</w:t>
      </w:r>
      <w:r>
        <w:rPr>
          <w:spacing w:val="-6"/>
          <w:sz w:val="24"/>
        </w:rPr>
        <w:t xml:space="preserve"> </w:t>
      </w:r>
      <w:r>
        <w:rPr>
          <w:sz w:val="24"/>
        </w:rPr>
        <w:t>a</w:t>
      </w:r>
      <w:r>
        <w:rPr>
          <w:spacing w:val="-4"/>
          <w:sz w:val="24"/>
        </w:rPr>
        <w:t xml:space="preserve"> </w:t>
      </w:r>
      <w:r>
        <w:rPr>
          <w:sz w:val="24"/>
        </w:rPr>
        <w:t>TA</w:t>
      </w:r>
      <w:r>
        <w:rPr>
          <w:spacing w:val="-6"/>
          <w:sz w:val="24"/>
        </w:rPr>
        <w:t xml:space="preserve"> </w:t>
      </w:r>
      <w:r>
        <w:rPr>
          <w:sz w:val="24"/>
        </w:rPr>
        <w:t>to</w:t>
      </w:r>
      <w:r>
        <w:rPr>
          <w:spacing w:val="-6"/>
          <w:sz w:val="24"/>
        </w:rPr>
        <w:t xml:space="preserve"> </w:t>
      </w:r>
      <w:r>
        <w:rPr>
          <w:sz w:val="24"/>
        </w:rPr>
        <w:t>teach</w:t>
      </w:r>
      <w:r>
        <w:rPr>
          <w:spacing w:val="-6"/>
          <w:sz w:val="24"/>
        </w:rPr>
        <w:t xml:space="preserve"> </w:t>
      </w:r>
      <w:r>
        <w:rPr>
          <w:sz w:val="24"/>
        </w:rPr>
        <w:t>a</w:t>
      </w:r>
      <w:r>
        <w:rPr>
          <w:spacing w:val="-7"/>
          <w:sz w:val="24"/>
        </w:rPr>
        <w:t xml:space="preserve"> </w:t>
      </w:r>
      <w:r>
        <w:rPr>
          <w:sz w:val="24"/>
        </w:rPr>
        <w:t>lecture</w:t>
      </w:r>
      <w:r>
        <w:rPr>
          <w:spacing w:val="-4"/>
          <w:sz w:val="24"/>
        </w:rPr>
        <w:t xml:space="preserve"> </w:t>
      </w:r>
      <w:r>
        <w:rPr>
          <w:sz w:val="24"/>
        </w:rPr>
        <w:t>course</w:t>
      </w:r>
      <w:r>
        <w:rPr>
          <w:spacing w:val="-4"/>
          <w:sz w:val="24"/>
        </w:rPr>
        <w:t xml:space="preserve"> </w:t>
      </w:r>
      <w:r>
        <w:rPr>
          <w:sz w:val="24"/>
        </w:rPr>
        <w:t>or</w:t>
      </w:r>
      <w:r>
        <w:rPr>
          <w:spacing w:val="-4"/>
          <w:sz w:val="24"/>
        </w:rPr>
        <w:t xml:space="preserve"> </w:t>
      </w:r>
      <w:r>
        <w:rPr>
          <w:sz w:val="24"/>
        </w:rPr>
        <w:t>any</w:t>
      </w:r>
      <w:r>
        <w:rPr>
          <w:spacing w:val="-15"/>
          <w:sz w:val="24"/>
        </w:rPr>
        <w:t xml:space="preserve"> </w:t>
      </w:r>
      <w:r>
        <w:rPr>
          <w:sz w:val="24"/>
        </w:rPr>
        <w:t>course</w:t>
      </w:r>
      <w:r>
        <w:rPr>
          <w:spacing w:val="-4"/>
          <w:sz w:val="24"/>
        </w:rPr>
        <w:t xml:space="preserve"> </w:t>
      </w:r>
      <w:r>
        <w:rPr>
          <w:sz w:val="24"/>
        </w:rPr>
        <w:t>with</w:t>
      </w:r>
      <w:r>
        <w:rPr>
          <w:spacing w:val="-6"/>
          <w:sz w:val="24"/>
        </w:rPr>
        <w:t xml:space="preserve"> </w:t>
      </w:r>
      <w:r>
        <w:rPr>
          <w:sz w:val="24"/>
        </w:rPr>
        <w:t>an</w:t>
      </w:r>
      <w:r>
        <w:rPr>
          <w:spacing w:val="-3"/>
          <w:sz w:val="24"/>
        </w:rPr>
        <w:t xml:space="preserve"> enrollment </w:t>
      </w:r>
      <w:r>
        <w:rPr>
          <w:sz w:val="24"/>
        </w:rPr>
        <w:t>over 40</w:t>
      </w:r>
      <w:r>
        <w:rPr>
          <w:spacing w:val="-15"/>
          <w:sz w:val="24"/>
        </w:rPr>
        <w:t xml:space="preserve"> </w:t>
      </w:r>
      <w:r>
        <w:rPr>
          <w:sz w:val="24"/>
        </w:rPr>
        <w:t>students.</w:t>
      </w:r>
    </w:p>
    <w:p w14:paraId="59C7669F" w14:textId="77777777" w:rsidR="00BB76E1" w:rsidRDefault="007870DA">
      <w:pPr>
        <w:pStyle w:val="ListParagraph"/>
        <w:numPr>
          <w:ilvl w:val="0"/>
          <w:numId w:val="3"/>
        </w:numPr>
        <w:tabs>
          <w:tab w:val="left" w:pos="479"/>
          <w:tab w:val="left" w:pos="480"/>
        </w:tabs>
        <w:spacing w:line="248" w:lineRule="exact"/>
        <w:rPr>
          <w:sz w:val="24"/>
        </w:rPr>
      </w:pPr>
      <w:r>
        <w:rPr>
          <w:spacing w:val="-3"/>
          <w:sz w:val="24"/>
        </w:rPr>
        <w:t>It</w:t>
      </w:r>
      <w:r>
        <w:rPr>
          <w:spacing w:val="-4"/>
          <w:sz w:val="24"/>
        </w:rPr>
        <w:t xml:space="preserve"> </w:t>
      </w:r>
      <w:r>
        <w:rPr>
          <w:sz w:val="24"/>
        </w:rPr>
        <w:t>is</w:t>
      </w:r>
      <w:r>
        <w:rPr>
          <w:spacing w:val="-4"/>
          <w:sz w:val="24"/>
        </w:rPr>
        <w:t xml:space="preserve"> </w:t>
      </w:r>
      <w:r>
        <w:rPr>
          <w:sz w:val="24"/>
        </w:rPr>
        <w:t>not</w:t>
      </w:r>
      <w:r>
        <w:rPr>
          <w:spacing w:val="-4"/>
          <w:sz w:val="24"/>
        </w:rPr>
        <w:t xml:space="preserve"> </w:t>
      </w:r>
      <w:r>
        <w:rPr>
          <w:sz w:val="24"/>
        </w:rPr>
        <w:t>appropriate</w:t>
      </w:r>
      <w:r>
        <w:rPr>
          <w:spacing w:val="-5"/>
          <w:sz w:val="24"/>
        </w:rPr>
        <w:t xml:space="preserve"> </w:t>
      </w:r>
      <w:r>
        <w:rPr>
          <w:sz w:val="24"/>
        </w:rPr>
        <w:t>to</w:t>
      </w:r>
      <w:r>
        <w:rPr>
          <w:spacing w:val="-4"/>
          <w:sz w:val="24"/>
        </w:rPr>
        <w:t xml:space="preserve"> </w:t>
      </w:r>
      <w:r>
        <w:rPr>
          <w:sz w:val="24"/>
        </w:rPr>
        <w:t>assign</w:t>
      </w:r>
      <w:r>
        <w:rPr>
          <w:spacing w:val="-7"/>
          <w:sz w:val="24"/>
        </w:rPr>
        <w:t xml:space="preserve"> </w:t>
      </w:r>
      <w:r>
        <w:rPr>
          <w:sz w:val="24"/>
        </w:rPr>
        <w:t>a</w:t>
      </w:r>
      <w:r>
        <w:rPr>
          <w:spacing w:val="-5"/>
          <w:sz w:val="24"/>
        </w:rPr>
        <w:t xml:space="preserve"> </w:t>
      </w:r>
      <w:r>
        <w:rPr>
          <w:sz w:val="24"/>
        </w:rPr>
        <w:t>TA</w:t>
      </w:r>
      <w:r>
        <w:rPr>
          <w:spacing w:val="-7"/>
          <w:sz w:val="24"/>
        </w:rPr>
        <w:t xml:space="preserve"> </w:t>
      </w:r>
      <w:r>
        <w:rPr>
          <w:sz w:val="24"/>
        </w:rPr>
        <w:t>to</w:t>
      </w:r>
      <w:r>
        <w:rPr>
          <w:spacing w:val="-7"/>
          <w:sz w:val="24"/>
        </w:rPr>
        <w:t xml:space="preserve"> </w:t>
      </w:r>
      <w:r>
        <w:rPr>
          <w:sz w:val="24"/>
        </w:rPr>
        <w:t>teach</w:t>
      </w:r>
      <w:r>
        <w:rPr>
          <w:spacing w:val="-7"/>
          <w:sz w:val="24"/>
        </w:rPr>
        <w:t xml:space="preserve"> </w:t>
      </w:r>
      <w:r>
        <w:rPr>
          <w:sz w:val="24"/>
        </w:rPr>
        <w:t>a</w:t>
      </w:r>
      <w:r>
        <w:rPr>
          <w:spacing w:val="-5"/>
          <w:sz w:val="24"/>
        </w:rPr>
        <w:t xml:space="preserve"> </w:t>
      </w:r>
      <w:r>
        <w:rPr>
          <w:sz w:val="24"/>
        </w:rPr>
        <w:t>course</w:t>
      </w:r>
      <w:r>
        <w:rPr>
          <w:spacing w:val="-7"/>
          <w:sz w:val="24"/>
        </w:rPr>
        <w:t xml:space="preserve"> </w:t>
      </w:r>
      <w:r>
        <w:rPr>
          <w:sz w:val="24"/>
        </w:rPr>
        <w:t>numbered</w:t>
      </w:r>
      <w:r>
        <w:rPr>
          <w:spacing w:val="-4"/>
          <w:sz w:val="24"/>
        </w:rPr>
        <w:t xml:space="preserve"> </w:t>
      </w:r>
      <w:r>
        <w:rPr>
          <w:sz w:val="24"/>
        </w:rPr>
        <w:t>at</w:t>
      </w:r>
      <w:r>
        <w:rPr>
          <w:spacing w:val="-6"/>
          <w:sz w:val="24"/>
        </w:rPr>
        <w:t xml:space="preserve"> </w:t>
      </w:r>
      <w:r>
        <w:rPr>
          <w:sz w:val="24"/>
        </w:rPr>
        <w:t>or</w:t>
      </w:r>
      <w:r>
        <w:rPr>
          <w:spacing w:val="-5"/>
          <w:sz w:val="24"/>
        </w:rPr>
        <w:t xml:space="preserve"> </w:t>
      </w:r>
      <w:r>
        <w:rPr>
          <w:sz w:val="24"/>
        </w:rPr>
        <w:t>above</w:t>
      </w:r>
      <w:r>
        <w:rPr>
          <w:spacing w:val="-7"/>
          <w:sz w:val="24"/>
        </w:rPr>
        <w:t xml:space="preserve"> </w:t>
      </w:r>
      <w:r>
        <w:rPr>
          <w:sz w:val="24"/>
        </w:rPr>
        <w:t>the</w:t>
      </w:r>
      <w:r>
        <w:rPr>
          <w:spacing w:val="-5"/>
          <w:sz w:val="24"/>
        </w:rPr>
        <w:t xml:space="preserve"> </w:t>
      </w:r>
      <w:r>
        <w:rPr>
          <w:spacing w:val="-3"/>
          <w:sz w:val="24"/>
        </w:rPr>
        <w:t>3000-level.</w:t>
      </w:r>
    </w:p>
    <w:p w14:paraId="51B8BED2" w14:textId="77777777" w:rsidR="00BB76E1" w:rsidRDefault="00BB76E1">
      <w:pPr>
        <w:spacing w:line="248" w:lineRule="exact"/>
        <w:rPr>
          <w:sz w:val="24"/>
        </w:rPr>
        <w:sectPr w:rsidR="00BB76E1">
          <w:headerReference w:type="default" r:id="rId8"/>
          <w:type w:val="continuous"/>
          <w:pgSz w:w="12240" w:h="15840"/>
          <w:pgMar w:top="980" w:right="1320" w:bottom="280" w:left="1440" w:header="761" w:footer="720" w:gutter="0"/>
          <w:pgNumType w:start="1"/>
          <w:cols w:space="720"/>
        </w:sectPr>
      </w:pPr>
    </w:p>
    <w:p w14:paraId="377D6F0F" w14:textId="77777777" w:rsidR="00BB76E1" w:rsidRDefault="00BB76E1">
      <w:pPr>
        <w:pStyle w:val="BodyText"/>
        <w:rPr>
          <w:sz w:val="20"/>
        </w:rPr>
      </w:pPr>
    </w:p>
    <w:p w14:paraId="621A5416" w14:textId="77777777" w:rsidR="00BB76E1" w:rsidRDefault="00BB76E1">
      <w:pPr>
        <w:pStyle w:val="BodyText"/>
        <w:rPr>
          <w:sz w:val="20"/>
        </w:rPr>
      </w:pPr>
    </w:p>
    <w:p w14:paraId="2718AE54" w14:textId="77777777" w:rsidR="00BB76E1" w:rsidRDefault="00BB76E1">
      <w:pPr>
        <w:pStyle w:val="BodyText"/>
        <w:rPr>
          <w:sz w:val="20"/>
        </w:rPr>
      </w:pPr>
    </w:p>
    <w:p w14:paraId="78E49A4A" w14:textId="77777777" w:rsidR="00BB76E1" w:rsidRDefault="007870DA">
      <w:pPr>
        <w:pStyle w:val="BodyText"/>
        <w:spacing w:before="218"/>
        <w:ind w:left="239" w:right="486"/>
      </w:pPr>
      <w:r>
        <w:rPr>
          <w:i/>
        </w:rPr>
        <w:t xml:space="preserve">Any exceptions to this policy must have </w:t>
      </w:r>
      <w:r>
        <w:rPr>
          <w:i/>
          <w:spacing w:val="-3"/>
        </w:rPr>
        <w:t xml:space="preserve">written </w:t>
      </w:r>
      <w:r>
        <w:rPr>
          <w:i/>
        </w:rPr>
        <w:t>approval from Dean Getz</w:t>
      </w:r>
      <w:r>
        <w:t xml:space="preserve">. </w:t>
      </w:r>
      <w:r>
        <w:rPr>
          <w:spacing w:val="-3"/>
        </w:rPr>
        <w:t xml:space="preserve">If </w:t>
      </w:r>
      <w:r>
        <w:rPr>
          <w:spacing w:val="-4"/>
        </w:rPr>
        <w:t xml:space="preserve">you </w:t>
      </w:r>
      <w:r>
        <w:t xml:space="preserve">wish to obtain </w:t>
      </w:r>
      <w:r>
        <w:rPr>
          <w:spacing w:val="-3"/>
        </w:rPr>
        <w:t xml:space="preserve">approval </w:t>
      </w:r>
      <w:r>
        <w:t xml:space="preserve">from Dean Getz, please use the </w:t>
      </w:r>
      <w:r>
        <w:rPr>
          <w:spacing w:val="-3"/>
        </w:rPr>
        <w:t xml:space="preserve">template </w:t>
      </w:r>
      <w:r>
        <w:t xml:space="preserve">located </w:t>
      </w:r>
      <w:r>
        <w:rPr>
          <w:spacing w:val="-4"/>
        </w:rPr>
        <w:t xml:space="preserve">at </w:t>
      </w:r>
      <w:hyperlink r:id="rId9">
        <w:r>
          <w:rPr>
            <w:color w:val="0000FF"/>
            <w:spacing w:val="-3"/>
            <w:u w:val="single" w:color="0000FF"/>
          </w:rPr>
          <w:t>http://clas.uiowa.edu/deos/administrative-manual-graduate-appointments</w:t>
        </w:r>
        <w:r>
          <w:rPr>
            <w:spacing w:val="-3"/>
          </w:rPr>
          <w:t>.</w:t>
        </w:r>
      </w:hyperlink>
      <w:r>
        <w:rPr>
          <w:spacing w:val="-3"/>
        </w:rPr>
        <w:t xml:space="preserve"> It </w:t>
      </w:r>
      <w:r>
        <w:t xml:space="preserve">is located under </w:t>
      </w:r>
      <w:r>
        <w:rPr>
          <w:spacing w:val="-3"/>
        </w:rPr>
        <w:t xml:space="preserve">“Forms” </w:t>
      </w:r>
      <w:r>
        <w:t xml:space="preserve">and it is </w:t>
      </w:r>
      <w:r>
        <w:rPr>
          <w:spacing w:val="-3"/>
        </w:rPr>
        <w:t xml:space="preserve">called “Template </w:t>
      </w:r>
      <w:r>
        <w:t xml:space="preserve">for </w:t>
      </w:r>
      <w:r>
        <w:rPr>
          <w:spacing w:val="-3"/>
        </w:rPr>
        <w:t xml:space="preserve">requesting permission </w:t>
      </w:r>
      <w:r>
        <w:t xml:space="preserve">for a graduate student to teach a </w:t>
      </w:r>
      <w:r>
        <w:rPr>
          <w:spacing w:val="-3"/>
        </w:rPr>
        <w:t xml:space="preserve">3000-level </w:t>
      </w:r>
      <w:r>
        <w:t>course.”</w:t>
      </w:r>
    </w:p>
    <w:p w14:paraId="22A102AE" w14:textId="77777777" w:rsidR="00BB76E1" w:rsidRDefault="00BB76E1">
      <w:pPr>
        <w:pStyle w:val="BodyText"/>
        <w:spacing w:before="9"/>
        <w:rPr>
          <w:sz w:val="26"/>
        </w:rPr>
      </w:pPr>
    </w:p>
    <w:p w14:paraId="49CE3097" w14:textId="77777777" w:rsidR="00576A6E" w:rsidRDefault="00576A6E">
      <w:pPr>
        <w:pStyle w:val="BodyText"/>
        <w:spacing w:before="9"/>
        <w:rPr>
          <w:sz w:val="25"/>
        </w:rPr>
      </w:pPr>
    </w:p>
    <w:p w14:paraId="15F09359" w14:textId="77777777" w:rsidR="00BB76E1" w:rsidRDefault="007870DA">
      <w:pPr>
        <w:pStyle w:val="Heading1"/>
        <w:spacing w:line="269" w:lineRule="exact"/>
      </w:pPr>
      <w:bookmarkStart w:id="3" w:name="Commitments_by_TAs"/>
      <w:bookmarkEnd w:id="3"/>
      <w:r>
        <w:t>Commitments by TAs</w:t>
      </w:r>
    </w:p>
    <w:p w14:paraId="49517168" w14:textId="77777777" w:rsidR="00BB76E1" w:rsidRDefault="007870DA">
      <w:pPr>
        <w:pStyle w:val="BodyText"/>
        <w:ind w:left="119" w:right="503"/>
      </w:pPr>
      <w:r>
        <w:t xml:space="preserve">The Graduate College asks departments to conform to the Council of Graduate Schools’ Resolution regarding commitments by prospective or enrolled graduate students to accept financial support. This Resolution emphasizes that graduate students "are under no obligation to respond to offers of financial support prior to April 15; earlier deadlines for acceptance of such offers violate the intent of this Resolution." Departments are to enclose a copy of the revised Resolution with each scholarship, fellowship, traineeship, or assistantship offer. The Graduate College will provide copies. The resolution is available online at </w:t>
      </w:r>
      <w:hyperlink r:id="rId10">
        <w:r>
          <w:rPr>
            <w:color w:val="0563C1"/>
            <w:u w:val="single" w:color="0563C1"/>
          </w:rPr>
          <w:t>http://cgsnet.org/april-15-resolution.</w:t>
        </w:r>
      </w:hyperlink>
    </w:p>
    <w:p w14:paraId="547885D6" w14:textId="77777777" w:rsidR="00BB76E1" w:rsidRDefault="00BB76E1">
      <w:pPr>
        <w:pStyle w:val="BodyText"/>
        <w:rPr>
          <w:sz w:val="20"/>
        </w:rPr>
      </w:pPr>
    </w:p>
    <w:p w14:paraId="2EB34187" w14:textId="77777777" w:rsidR="00BB76E1" w:rsidRDefault="00BB76E1">
      <w:pPr>
        <w:pStyle w:val="BodyText"/>
        <w:spacing w:before="10"/>
        <w:rPr>
          <w:sz w:val="20"/>
        </w:rPr>
      </w:pPr>
    </w:p>
    <w:p w14:paraId="2DE5A944" w14:textId="77777777" w:rsidR="00BB76E1" w:rsidRDefault="007870DA">
      <w:pPr>
        <w:ind w:left="119" w:right="365"/>
        <w:rPr>
          <w:sz w:val="24"/>
        </w:rPr>
      </w:pPr>
      <w:r>
        <w:rPr>
          <w:sz w:val="24"/>
        </w:rPr>
        <w:t xml:space="preserve">Please </w:t>
      </w:r>
      <w:r>
        <w:rPr>
          <w:spacing w:val="-3"/>
          <w:sz w:val="24"/>
        </w:rPr>
        <w:t xml:space="preserve">make written </w:t>
      </w:r>
      <w:r>
        <w:rPr>
          <w:sz w:val="24"/>
        </w:rPr>
        <w:t xml:space="preserve">offers and require </w:t>
      </w:r>
      <w:r>
        <w:rPr>
          <w:spacing w:val="-3"/>
          <w:sz w:val="24"/>
        </w:rPr>
        <w:t xml:space="preserve">written </w:t>
      </w:r>
      <w:r>
        <w:rPr>
          <w:sz w:val="24"/>
        </w:rPr>
        <w:t xml:space="preserve">acceptances of all teaching </w:t>
      </w:r>
      <w:r>
        <w:rPr>
          <w:spacing w:val="-3"/>
          <w:sz w:val="24"/>
        </w:rPr>
        <w:t xml:space="preserve">assistantship </w:t>
      </w:r>
      <w:r>
        <w:rPr>
          <w:sz w:val="24"/>
        </w:rPr>
        <w:t xml:space="preserve">offers, not only to prospective graduate students, but also to continuing graduate students in </w:t>
      </w:r>
      <w:r>
        <w:rPr>
          <w:spacing w:val="-4"/>
          <w:sz w:val="24"/>
        </w:rPr>
        <w:t xml:space="preserve">your </w:t>
      </w:r>
      <w:r>
        <w:rPr>
          <w:sz w:val="24"/>
        </w:rPr>
        <w:t xml:space="preserve">program. </w:t>
      </w:r>
      <w:r>
        <w:rPr>
          <w:b/>
          <w:i/>
          <w:sz w:val="24"/>
        </w:rPr>
        <w:t xml:space="preserve">Offers to new TAs should stipulate that continuation of support into the second semester is subject to positive evaluations of oral communication competence and </w:t>
      </w:r>
      <w:r>
        <w:rPr>
          <w:b/>
          <w:i/>
          <w:spacing w:val="-3"/>
          <w:sz w:val="24"/>
        </w:rPr>
        <w:t xml:space="preserve">teaching </w:t>
      </w:r>
      <w:r>
        <w:rPr>
          <w:b/>
          <w:i/>
          <w:sz w:val="24"/>
        </w:rPr>
        <w:t xml:space="preserve">proficiency </w:t>
      </w:r>
      <w:r>
        <w:rPr>
          <w:b/>
          <w:i/>
          <w:spacing w:val="-3"/>
          <w:sz w:val="24"/>
        </w:rPr>
        <w:t xml:space="preserve">skills, </w:t>
      </w:r>
      <w:r>
        <w:rPr>
          <w:b/>
          <w:i/>
          <w:sz w:val="24"/>
        </w:rPr>
        <w:t xml:space="preserve">and that </w:t>
      </w:r>
      <w:r>
        <w:rPr>
          <w:b/>
          <w:i/>
          <w:spacing w:val="-3"/>
          <w:sz w:val="24"/>
        </w:rPr>
        <w:t xml:space="preserve">negative </w:t>
      </w:r>
      <w:r>
        <w:rPr>
          <w:b/>
          <w:i/>
          <w:sz w:val="24"/>
        </w:rPr>
        <w:t xml:space="preserve">evaluation can result in reduction of </w:t>
      </w:r>
      <w:r>
        <w:rPr>
          <w:b/>
          <w:i/>
          <w:spacing w:val="-3"/>
          <w:sz w:val="24"/>
        </w:rPr>
        <w:t xml:space="preserve">responsibilities </w:t>
      </w:r>
      <w:r>
        <w:rPr>
          <w:b/>
          <w:i/>
          <w:sz w:val="24"/>
        </w:rPr>
        <w:t xml:space="preserve">and stipend, or </w:t>
      </w:r>
      <w:r>
        <w:rPr>
          <w:b/>
          <w:i/>
          <w:spacing w:val="-3"/>
          <w:sz w:val="24"/>
        </w:rPr>
        <w:t xml:space="preserve">even </w:t>
      </w:r>
      <w:r>
        <w:rPr>
          <w:b/>
          <w:i/>
          <w:sz w:val="24"/>
        </w:rPr>
        <w:t xml:space="preserve">in </w:t>
      </w:r>
      <w:r>
        <w:rPr>
          <w:b/>
          <w:i/>
          <w:spacing w:val="-3"/>
          <w:sz w:val="24"/>
        </w:rPr>
        <w:t xml:space="preserve">cancellation </w:t>
      </w:r>
      <w:r>
        <w:rPr>
          <w:b/>
          <w:i/>
          <w:sz w:val="24"/>
        </w:rPr>
        <w:t xml:space="preserve">of the commitment </w:t>
      </w:r>
      <w:r>
        <w:rPr>
          <w:b/>
          <w:i/>
          <w:spacing w:val="-3"/>
          <w:sz w:val="24"/>
        </w:rPr>
        <w:t xml:space="preserve">for </w:t>
      </w:r>
      <w:r>
        <w:rPr>
          <w:b/>
          <w:i/>
          <w:sz w:val="24"/>
        </w:rPr>
        <w:t>support (mostly appropriate in the case of teaching assistants from the graduate program of a different department than your own)</w:t>
      </w:r>
      <w:r>
        <w:rPr>
          <w:sz w:val="24"/>
        </w:rPr>
        <w:t xml:space="preserve">. Only if </w:t>
      </w:r>
      <w:r>
        <w:rPr>
          <w:spacing w:val="-3"/>
          <w:sz w:val="24"/>
        </w:rPr>
        <w:t xml:space="preserve">you </w:t>
      </w:r>
      <w:r>
        <w:rPr>
          <w:sz w:val="24"/>
        </w:rPr>
        <w:t xml:space="preserve">include such language in the offer </w:t>
      </w:r>
      <w:r>
        <w:rPr>
          <w:spacing w:val="-3"/>
          <w:sz w:val="24"/>
        </w:rPr>
        <w:t xml:space="preserve">letter </w:t>
      </w:r>
      <w:r>
        <w:rPr>
          <w:sz w:val="24"/>
        </w:rPr>
        <w:t xml:space="preserve">will the </w:t>
      </w:r>
      <w:r>
        <w:rPr>
          <w:spacing w:val="-3"/>
          <w:sz w:val="24"/>
        </w:rPr>
        <w:t xml:space="preserve">College </w:t>
      </w:r>
      <w:r>
        <w:rPr>
          <w:sz w:val="24"/>
        </w:rPr>
        <w:t xml:space="preserve">of </w:t>
      </w:r>
      <w:r>
        <w:rPr>
          <w:spacing w:val="-3"/>
          <w:sz w:val="24"/>
        </w:rPr>
        <w:t xml:space="preserve">Liberal </w:t>
      </w:r>
      <w:r>
        <w:rPr>
          <w:sz w:val="24"/>
        </w:rPr>
        <w:t xml:space="preserve">Arts and Sciences and the Graduate College be </w:t>
      </w:r>
      <w:r>
        <w:rPr>
          <w:spacing w:val="-3"/>
          <w:sz w:val="24"/>
        </w:rPr>
        <w:t xml:space="preserve">able </w:t>
      </w:r>
      <w:r>
        <w:rPr>
          <w:sz w:val="24"/>
        </w:rPr>
        <w:t xml:space="preserve">to cover problems that arise due to failure to </w:t>
      </w:r>
      <w:r>
        <w:rPr>
          <w:spacing w:val="-4"/>
          <w:sz w:val="24"/>
        </w:rPr>
        <w:t xml:space="preserve">meet </w:t>
      </w:r>
      <w:r>
        <w:rPr>
          <w:sz w:val="24"/>
        </w:rPr>
        <w:t xml:space="preserve">these </w:t>
      </w:r>
      <w:r>
        <w:rPr>
          <w:spacing w:val="-3"/>
          <w:sz w:val="24"/>
        </w:rPr>
        <w:t xml:space="preserve">requirements </w:t>
      </w:r>
      <w:r>
        <w:rPr>
          <w:sz w:val="24"/>
        </w:rPr>
        <w:t xml:space="preserve">by a teaching </w:t>
      </w:r>
      <w:r>
        <w:rPr>
          <w:spacing w:val="-3"/>
          <w:sz w:val="24"/>
        </w:rPr>
        <w:t xml:space="preserve">assistant. Furthermore, </w:t>
      </w:r>
      <w:r>
        <w:rPr>
          <w:b/>
          <w:sz w:val="24"/>
          <w:u w:val="thick"/>
        </w:rPr>
        <w:t xml:space="preserve">all </w:t>
      </w:r>
      <w:r>
        <w:rPr>
          <w:sz w:val="24"/>
        </w:rPr>
        <w:t xml:space="preserve">offers to second-year teaching </w:t>
      </w:r>
      <w:r>
        <w:rPr>
          <w:spacing w:val="-3"/>
          <w:sz w:val="24"/>
        </w:rPr>
        <w:t xml:space="preserve">assistants </w:t>
      </w:r>
      <w:r>
        <w:rPr>
          <w:b/>
          <w:sz w:val="24"/>
          <w:u w:val="thick"/>
        </w:rPr>
        <w:t xml:space="preserve">must </w:t>
      </w:r>
      <w:r>
        <w:rPr>
          <w:sz w:val="24"/>
        </w:rPr>
        <w:t xml:space="preserve">be contingent upon B </w:t>
      </w:r>
      <w:r>
        <w:rPr>
          <w:spacing w:val="-3"/>
          <w:sz w:val="24"/>
        </w:rPr>
        <w:t xml:space="preserve">certification </w:t>
      </w:r>
      <w:r>
        <w:rPr>
          <w:sz w:val="24"/>
        </w:rPr>
        <w:t xml:space="preserve">from the </w:t>
      </w:r>
      <w:r>
        <w:rPr>
          <w:spacing w:val="-3"/>
          <w:sz w:val="24"/>
        </w:rPr>
        <w:t xml:space="preserve">English </w:t>
      </w:r>
      <w:r>
        <w:rPr>
          <w:sz w:val="24"/>
        </w:rPr>
        <w:t xml:space="preserve">as a Second Language </w:t>
      </w:r>
      <w:r>
        <w:rPr>
          <w:spacing w:val="-3"/>
          <w:sz w:val="24"/>
        </w:rPr>
        <w:t xml:space="preserve">(ESL) </w:t>
      </w:r>
      <w:r>
        <w:rPr>
          <w:sz w:val="24"/>
        </w:rPr>
        <w:t xml:space="preserve">office </w:t>
      </w:r>
      <w:r>
        <w:rPr>
          <w:b/>
          <w:sz w:val="24"/>
          <w:u w:val="thick"/>
        </w:rPr>
        <w:t xml:space="preserve">unless </w:t>
      </w:r>
      <w:r>
        <w:rPr>
          <w:sz w:val="24"/>
        </w:rPr>
        <w:t xml:space="preserve">they are teaching </w:t>
      </w:r>
      <w:r>
        <w:rPr>
          <w:spacing w:val="-3"/>
          <w:sz w:val="24"/>
        </w:rPr>
        <w:t xml:space="preserve">assistants </w:t>
      </w:r>
      <w:r>
        <w:rPr>
          <w:sz w:val="24"/>
        </w:rPr>
        <w:t xml:space="preserve">in a </w:t>
      </w:r>
      <w:r>
        <w:rPr>
          <w:spacing w:val="-3"/>
          <w:sz w:val="24"/>
        </w:rPr>
        <w:t xml:space="preserve">science-related </w:t>
      </w:r>
      <w:r>
        <w:rPr>
          <w:sz w:val="24"/>
        </w:rPr>
        <w:t xml:space="preserve">department and are in charge of a lab section. </w:t>
      </w:r>
      <w:r>
        <w:rPr>
          <w:spacing w:val="-3"/>
          <w:sz w:val="24"/>
        </w:rPr>
        <w:t xml:space="preserve">In </w:t>
      </w:r>
      <w:r>
        <w:rPr>
          <w:sz w:val="24"/>
        </w:rPr>
        <w:t xml:space="preserve">the </w:t>
      </w:r>
      <w:r>
        <w:rPr>
          <w:spacing w:val="-3"/>
          <w:sz w:val="24"/>
        </w:rPr>
        <w:t xml:space="preserve">latter </w:t>
      </w:r>
      <w:r>
        <w:rPr>
          <w:sz w:val="24"/>
        </w:rPr>
        <w:t xml:space="preserve">case a C </w:t>
      </w:r>
      <w:r>
        <w:rPr>
          <w:spacing w:val="-3"/>
          <w:sz w:val="24"/>
        </w:rPr>
        <w:t xml:space="preserve">certification </w:t>
      </w:r>
      <w:r>
        <w:rPr>
          <w:sz w:val="24"/>
        </w:rPr>
        <w:t xml:space="preserve">must be obtained by the second </w:t>
      </w:r>
      <w:r>
        <w:rPr>
          <w:spacing w:val="-4"/>
          <w:sz w:val="24"/>
        </w:rPr>
        <w:t xml:space="preserve">year. </w:t>
      </w:r>
      <w:r>
        <w:rPr>
          <w:sz w:val="24"/>
        </w:rPr>
        <w:t xml:space="preserve">The College of </w:t>
      </w:r>
      <w:r>
        <w:rPr>
          <w:spacing w:val="-4"/>
          <w:sz w:val="24"/>
        </w:rPr>
        <w:t xml:space="preserve">Liberal </w:t>
      </w:r>
      <w:r>
        <w:rPr>
          <w:sz w:val="24"/>
        </w:rPr>
        <w:t xml:space="preserve">Arts and Sciences will not approve any appointment </w:t>
      </w:r>
      <w:r>
        <w:rPr>
          <w:spacing w:val="-3"/>
          <w:sz w:val="24"/>
        </w:rPr>
        <w:t xml:space="preserve">forms </w:t>
      </w:r>
      <w:r>
        <w:rPr>
          <w:sz w:val="24"/>
        </w:rPr>
        <w:t xml:space="preserve">for second- year teaching </w:t>
      </w:r>
      <w:r>
        <w:rPr>
          <w:spacing w:val="-3"/>
          <w:sz w:val="24"/>
        </w:rPr>
        <w:t xml:space="preserve">assistants </w:t>
      </w:r>
      <w:r>
        <w:rPr>
          <w:sz w:val="24"/>
        </w:rPr>
        <w:t xml:space="preserve">who have not </w:t>
      </w:r>
      <w:r>
        <w:rPr>
          <w:spacing w:val="-2"/>
          <w:sz w:val="24"/>
        </w:rPr>
        <w:t xml:space="preserve">met </w:t>
      </w:r>
      <w:r>
        <w:rPr>
          <w:sz w:val="24"/>
        </w:rPr>
        <w:t>this criterion.</w:t>
      </w:r>
    </w:p>
    <w:p w14:paraId="5E9B6BA5" w14:textId="77777777" w:rsidR="00BB76E1" w:rsidRDefault="00BB76E1">
      <w:pPr>
        <w:pStyle w:val="BodyText"/>
        <w:rPr>
          <w:sz w:val="26"/>
        </w:rPr>
      </w:pPr>
    </w:p>
    <w:p w14:paraId="0B7D7FE5" w14:textId="77777777" w:rsidR="00BB76E1" w:rsidRDefault="00BB76E1">
      <w:pPr>
        <w:pStyle w:val="BodyText"/>
        <w:rPr>
          <w:sz w:val="26"/>
        </w:rPr>
      </w:pPr>
    </w:p>
    <w:p w14:paraId="68A03DB2" w14:textId="77777777" w:rsidR="00BB76E1" w:rsidRDefault="00BB76E1">
      <w:pPr>
        <w:pStyle w:val="BodyText"/>
        <w:spacing w:before="9"/>
        <w:rPr>
          <w:sz w:val="25"/>
        </w:rPr>
      </w:pPr>
    </w:p>
    <w:p w14:paraId="666BB6C5" w14:textId="77777777" w:rsidR="00BB76E1" w:rsidRDefault="007870DA">
      <w:pPr>
        <w:pStyle w:val="Heading1"/>
        <w:spacing w:line="270" w:lineRule="exact"/>
      </w:pPr>
      <w:bookmarkStart w:id="4" w:name="Oral_Communication_Competence"/>
      <w:bookmarkEnd w:id="4"/>
      <w:r>
        <w:t>Oral Communication Competence</w:t>
      </w:r>
    </w:p>
    <w:p w14:paraId="4D4F8CFD" w14:textId="77777777" w:rsidR="00BB76E1" w:rsidRDefault="007870DA">
      <w:pPr>
        <w:pStyle w:val="BodyText"/>
        <w:ind w:left="120" w:right="365"/>
      </w:pPr>
      <w:r>
        <w:t xml:space="preserve">You are responsible in any case to assure </w:t>
      </w:r>
      <w:r>
        <w:rPr>
          <w:spacing w:val="-3"/>
        </w:rPr>
        <w:t xml:space="preserve">yourself </w:t>
      </w:r>
      <w:r>
        <w:t xml:space="preserve">of the oral </w:t>
      </w:r>
      <w:r>
        <w:rPr>
          <w:spacing w:val="-3"/>
        </w:rPr>
        <w:t xml:space="preserve">communication </w:t>
      </w:r>
      <w:r>
        <w:t>competence</w:t>
      </w:r>
      <w:r>
        <w:rPr>
          <w:spacing w:val="-3"/>
        </w:rPr>
        <w:t xml:space="preserve"> skills </w:t>
      </w:r>
      <w:r>
        <w:t xml:space="preserve">of prospective TAs before making an offer. </w:t>
      </w:r>
      <w:r>
        <w:rPr>
          <w:spacing w:val="-4"/>
        </w:rPr>
        <w:t xml:space="preserve">In </w:t>
      </w:r>
      <w:r>
        <w:t xml:space="preserve">cases where </w:t>
      </w:r>
      <w:r>
        <w:rPr>
          <w:spacing w:val="-3"/>
        </w:rPr>
        <w:t xml:space="preserve">letters </w:t>
      </w:r>
      <w:r>
        <w:t xml:space="preserve">of </w:t>
      </w:r>
      <w:r>
        <w:rPr>
          <w:spacing w:val="-3"/>
        </w:rPr>
        <w:t xml:space="preserve">recommendation </w:t>
      </w:r>
      <w:r>
        <w:t xml:space="preserve">do not clearly attest to such </w:t>
      </w:r>
      <w:r>
        <w:rPr>
          <w:spacing w:val="-3"/>
        </w:rPr>
        <w:t xml:space="preserve">skills, you </w:t>
      </w:r>
      <w:r>
        <w:t xml:space="preserve">should </w:t>
      </w:r>
      <w:r>
        <w:rPr>
          <w:spacing w:val="-3"/>
        </w:rPr>
        <w:t xml:space="preserve">interview </w:t>
      </w:r>
      <w:r>
        <w:t xml:space="preserve">the individual by telephone, if not in person. The policy applies to all individuals who will provide instruction, not just those whose first language is not English. The College of </w:t>
      </w:r>
      <w:r>
        <w:rPr>
          <w:spacing w:val="-3"/>
        </w:rPr>
        <w:t xml:space="preserve">Liberal </w:t>
      </w:r>
      <w:r>
        <w:t xml:space="preserve">Arts and Sciences </w:t>
      </w:r>
      <w:r>
        <w:rPr>
          <w:spacing w:val="-3"/>
        </w:rPr>
        <w:t xml:space="preserve">recommends </w:t>
      </w:r>
      <w:r>
        <w:t xml:space="preserve">that teaching assistantships not be offered to </w:t>
      </w:r>
      <w:r>
        <w:rPr>
          <w:spacing w:val="-3"/>
        </w:rPr>
        <w:t xml:space="preserve">incoming </w:t>
      </w:r>
      <w:r>
        <w:t xml:space="preserve">graduate students whose first language is not </w:t>
      </w:r>
      <w:r>
        <w:rPr>
          <w:spacing w:val="-3"/>
        </w:rPr>
        <w:t xml:space="preserve">English </w:t>
      </w:r>
      <w:r>
        <w:t xml:space="preserve">unless their score on the speaking component of the </w:t>
      </w:r>
      <w:r>
        <w:rPr>
          <w:spacing w:val="-3"/>
        </w:rPr>
        <w:t xml:space="preserve">Internet </w:t>
      </w:r>
      <w:r>
        <w:t>Based TOEFL (</w:t>
      </w:r>
      <w:proofErr w:type="spellStart"/>
      <w:r>
        <w:t>iBT</w:t>
      </w:r>
      <w:proofErr w:type="spellEnd"/>
      <w:r>
        <w:t>) is 26 or</w:t>
      </w:r>
    </w:p>
    <w:p w14:paraId="7FE0B58D" w14:textId="77777777" w:rsidR="00BB76E1" w:rsidRDefault="00BB76E1">
      <w:pPr>
        <w:sectPr w:rsidR="00BB76E1">
          <w:pgSz w:w="12240" w:h="15840"/>
          <w:pgMar w:top="980" w:right="1320" w:bottom="280" w:left="1320" w:header="761" w:footer="0" w:gutter="0"/>
          <w:cols w:space="720"/>
        </w:sectPr>
      </w:pPr>
    </w:p>
    <w:p w14:paraId="6AA1D4C9" w14:textId="77777777" w:rsidR="00BB76E1" w:rsidRDefault="00BB76E1">
      <w:pPr>
        <w:pStyle w:val="BodyText"/>
        <w:rPr>
          <w:sz w:val="20"/>
        </w:rPr>
      </w:pPr>
    </w:p>
    <w:p w14:paraId="5D6D18E1" w14:textId="77777777" w:rsidR="00BB76E1" w:rsidRDefault="007870DA">
      <w:pPr>
        <w:pStyle w:val="BodyText"/>
        <w:spacing w:before="220"/>
        <w:ind w:left="120"/>
      </w:pPr>
      <w:r>
        <w:t>higher.</w:t>
      </w:r>
    </w:p>
    <w:p w14:paraId="3D60653A" w14:textId="77777777" w:rsidR="00BB76E1" w:rsidRDefault="00BB76E1">
      <w:pPr>
        <w:pStyle w:val="BodyText"/>
        <w:rPr>
          <w:sz w:val="26"/>
        </w:rPr>
      </w:pPr>
    </w:p>
    <w:p w14:paraId="59AB37BB" w14:textId="77777777" w:rsidR="00BB76E1" w:rsidRDefault="00BB76E1">
      <w:pPr>
        <w:pStyle w:val="BodyText"/>
        <w:spacing w:before="9"/>
        <w:rPr>
          <w:sz w:val="25"/>
        </w:rPr>
      </w:pPr>
    </w:p>
    <w:p w14:paraId="1885E650" w14:textId="77777777" w:rsidR="00BB76E1" w:rsidRDefault="007870DA">
      <w:pPr>
        <w:pStyle w:val="Heading1"/>
        <w:spacing w:line="269" w:lineRule="exact"/>
      </w:pPr>
      <w:bookmarkStart w:id="5" w:name="Verification_of_Oral_Communication_Skill"/>
      <w:bookmarkEnd w:id="5"/>
      <w:r>
        <w:t>Verification of Oral Communication Skills for New TAs</w:t>
      </w:r>
    </w:p>
    <w:p w14:paraId="63E15BAF" w14:textId="77777777" w:rsidR="00BB76E1" w:rsidRDefault="007870DA">
      <w:pPr>
        <w:pStyle w:val="BodyText"/>
        <w:ind w:left="119" w:right="191"/>
      </w:pPr>
      <w:r>
        <w:t>Before offering a teaching assistantship, the DEO is responsible for verifying the oral communication skills of the candidate, whether or not the candidate’s first language is English. This verification may take place through letters of recommendation, a telephone interview, or an interview in person. For new graduate students whose first language is not English, the College recommends that teaching assistantships be offered only to those whose scores on the speaking component of the Internet Based TOEFL (</w:t>
      </w:r>
      <w:proofErr w:type="spellStart"/>
      <w:r>
        <w:t>iBT</w:t>
      </w:r>
      <w:proofErr w:type="spellEnd"/>
      <w:r>
        <w:t xml:space="preserve">) are 26 or higher. For more information, view the “Language Competency Flowchart” describing the process at </w:t>
      </w:r>
      <w:hyperlink r:id="rId11">
        <w:r>
          <w:rPr>
            <w:color w:val="0563C1"/>
            <w:u w:val="single" w:color="0563C1"/>
          </w:rPr>
          <w:t xml:space="preserve">http://clas.uiowa.edu/deos/administrative-manual-graduate-appointments </w:t>
        </w:r>
      </w:hyperlink>
      <w:r>
        <w:t>.</w:t>
      </w:r>
    </w:p>
    <w:p w14:paraId="5787337F" w14:textId="77777777" w:rsidR="00BB76E1" w:rsidRDefault="00BB76E1">
      <w:pPr>
        <w:pStyle w:val="BodyText"/>
        <w:rPr>
          <w:sz w:val="20"/>
        </w:rPr>
      </w:pPr>
    </w:p>
    <w:p w14:paraId="78CF70B1" w14:textId="77777777" w:rsidR="00BB76E1" w:rsidRDefault="00BB76E1">
      <w:pPr>
        <w:pStyle w:val="BodyText"/>
        <w:spacing w:before="3"/>
        <w:rPr>
          <w:sz w:val="21"/>
        </w:rPr>
      </w:pPr>
    </w:p>
    <w:p w14:paraId="4923232C" w14:textId="77777777" w:rsidR="00BB76E1" w:rsidRDefault="007870DA">
      <w:pPr>
        <w:pStyle w:val="Heading1"/>
        <w:spacing w:before="90" w:line="274" w:lineRule="exact"/>
      </w:pPr>
      <w:r>
        <w:t>Underrepresented Minorities</w:t>
      </w:r>
    </w:p>
    <w:p w14:paraId="640925F9" w14:textId="77777777" w:rsidR="00BB76E1" w:rsidRDefault="007870DA">
      <w:pPr>
        <w:pStyle w:val="BodyText"/>
        <w:ind w:left="120" w:right="291"/>
      </w:pPr>
      <w:r>
        <w:t xml:space="preserve">The College of </w:t>
      </w:r>
      <w:r>
        <w:rPr>
          <w:spacing w:val="-4"/>
        </w:rPr>
        <w:t xml:space="preserve">Liberal </w:t>
      </w:r>
      <w:r>
        <w:t xml:space="preserve">Arts and </w:t>
      </w:r>
      <w:r>
        <w:rPr>
          <w:spacing w:val="-3"/>
        </w:rPr>
        <w:t xml:space="preserve">Sciences </w:t>
      </w:r>
      <w:r>
        <w:t xml:space="preserve">will continue to sponsor a program to encourage the </w:t>
      </w:r>
      <w:r>
        <w:rPr>
          <w:spacing w:val="-3"/>
        </w:rPr>
        <w:t xml:space="preserve">recruitment </w:t>
      </w:r>
      <w:r>
        <w:t xml:space="preserve">of underrepresented minority teaching </w:t>
      </w:r>
      <w:r>
        <w:rPr>
          <w:spacing w:val="-3"/>
        </w:rPr>
        <w:t xml:space="preserve">assistants </w:t>
      </w:r>
      <w:r>
        <w:t>by providing a supplement of up to</w:t>
      </w:r>
    </w:p>
    <w:p w14:paraId="5A22A9B2" w14:textId="33D672DD" w:rsidR="00BB76E1" w:rsidRDefault="007870DA" w:rsidP="00826C5A">
      <w:pPr>
        <w:pStyle w:val="BodyText"/>
        <w:spacing w:before="2"/>
        <w:ind w:left="119" w:right="211"/>
      </w:pPr>
      <w:r>
        <w:t xml:space="preserve">$2,500 for the first new HTE minority TA and $1,000 for each subsequent new HTE minority TA in the same year. </w:t>
      </w:r>
      <w:r w:rsidR="00697DBA">
        <w:t xml:space="preserve">The supplement is prorated for appointments of less than 50%. </w:t>
      </w:r>
      <w:r>
        <w:t xml:space="preserve">These funds are available for expenses designed to further the recruitment of underrepresented </w:t>
      </w:r>
      <w:r w:rsidR="00843F7A">
        <w:t>minorities––defined as US citizens and permanent residents who are</w:t>
      </w:r>
      <w:r>
        <w:t xml:space="preserve"> </w:t>
      </w:r>
      <w:r w:rsidR="00124480">
        <w:t>Black or</w:t>
      </w:r>
      <w:r w:rsidR="00843F7A">
        <w:t xml:space="preserve"> African American, </w:t>
      </w:r>
      <w:r w:rsidR="00124480">
        <w:t xml:space="preserve">Hispanic or </w:t>
      </w:r>
      <w:r w:rsidR="00843F7A">
        <w:t xml:space="preserve">Latino/a, American Indian or Alaskan Native, </w:t>
      </w:r>
      <w:r w:rsidR="00124480">
        <w:t>Native Hawaiian or Pacific Islanders, women in science and mathematics (including computer science), and individuals with disabilities</w:t>
      </w:r>
      <w:r w:rsidR="00F00170">
        <w:t xml:space="preserve"> (defined as an individual with “a physical or mental impairment that </w:t>
      </w:r>
      <w:r w:rsidR="00124480">
        <w:t>substantially limit</w:t>
      </w:r>
      <w:r w:rsidR="00F00170">
        <w:t>s</w:t>
      </w:r>
      <w:r w:rsidR="00124480">
        <w:t xml:space="preserve"> one</w:t>
      </w:r>
      <w:r w:rsidR="00F00170">
        <w:t xml:space="preserve"> or more major life activities” </w:t>
      </w:r>
      <w:r w:rsidR="00124480">
        <w:t>in the Americans with Disabilities Act</w:t>
      </w:r>
      <w:r w:rsidR="00F00170">
        <w:t xml:space="preserve"> of 1990</w:t>
      </w:r>
      <w:r w:rsidR="00FF6886">
        <w:t>, as Amended</w:t>
      </w:r>
      <w:r w:rsidR="00826C5A" w:rsidRPr="00826C5A">
        <w:t xml:space="preserve"> </w:t>
      </w:r>
      <w:hyperlink r:id="rId12" w:history="1">
        <w:r w:rsidR="00826C5A" w:rsidRPr="00CE34FA">
          <w:rPr>
            <w:rStyle w:val="Hyperlink"/>
          </w:rPr>
          <w:t>https://www.ada.gov/pubs/adastatute08.htm</w:t>
        </w:r>
      </w:hyperlink>
      <w:r w:rsidR="00826C5A">
        <w:t>)</w:t>
      </w:r>
      <w:r>
        <w:t xml:space="preserve">––as graduate students in your department and teaching assistants in the College. </w:t>
      </w:r>
      <w:r w:rsidR="00F00170">
        <w:t>D</w:t>
      </w:r>
      <w:r>
        <w:t>epart</w:t>
      </w:r>
      <w:r w:rsidR="00826C5A">
        <w:t>ments should write to Dean Getz</w:t>
      </w:r>
      <w:r>
        <w:t xml:space="preserve"> with a specific proposal for expe</w:t>
      </w:r>
      <w:r w:rsidR="00414A6B">
        <w:t>nditure. Departments should use</w:t>
      </w:r>
      <w:r>
        <w:t xml:space="preserve"> grant/program number 5-2575000 and organizational account number 600 in the MFK when coding expenses related to minority supplements (see administrative help pages at </w:t>
      </w:r>
      <w:hyperlink r:id="rId13">
        <w:r>
          <w:rPr>
            <w:color w:val="0000FF"/>
            <w:u w:val="single" w:color="0000FF"/>
          </w:rPr>
          <w:t>http://clas.uiowa.edu/deos/administrative-manual-</w:t>
        </w:r>
      </w:hyperlink>
      <w:r>
        <w:rPr>
          <w:color w:val="0000FF"/>
          <w:u w:val="single" w:color="0000FF"/>
        </w:rPr>
        <w:t xml:space="preserve"> </w:t>
      </w:r>
      <w:hyperlink r:id="rId14">
        <w:r>
          <w:rPr>
            <w:color w:val="0000FF"/>
            <w:u w:val="single" w:color="0000FF"/>
          </w:rPr>
          <w:t>recruitment-minority-teaching-assistants</w:t>
        </w:r>
      </w:hyperlink>
      <w:r>
        <w:t>). A limited number of such requests can be considered in order to help with new recruiting initiatives that might affect a 201</w:t>
      </w:r>
      <w:r w:rsidR="00697DBA">
        <w:t>9</w:t>
      </w:r>
      <w:r>
        <w:t>-</w:t>
      </w:r>
      <w:r w:rsidR="00697DBA">
        <w:t>20</w:t>
      </w:r>
      <w:r>
        <w:t xml:space="preserve"> appointment</w:t>
      </w:r>
      <w:r w:rsidR="00826C5A">
        <w:t xml:space="preserve">. </w:t>
      </w:r>
      <w:r w:rsidR="00803527" w:rsidRPr="00BB755E">
        <w:t>Any</w:t>
      </w:r>
      <w:r w:rsidR="00803527" w:rsidRPr="00BB755E">
        <w:rPr>
          <w:spacing w:val="-5"/>
        </w:rPr>
        <w:t xml:space="preserve"> </w:t>
      </w:r>
      <w:r w:rsidR="00803527" w:rsidRPr="00BB755E">
        <w:rPr>
          <w:spacing w:val="-1"/>
        </w:rPr>
        <w:t>funds unused</w:t>
      </w:r>
      <w:r w:rsidR="00803527" w:rsidRPr="00BB755E">
        <w:rPr>
          <w:spacing w:val="-5"/>
        </w:rPr>
        <w:t xml:space="preserve"> </w:t>
      </w:r>
      <w:r w:rsidR="00803527" w:rsidRPr="00BB755E">
        <w:rPr>
          <w:spacing w:val="1"/>
        </w:rPr>
        <w:t>by</w:t>
      </w:r>
      <w:r w:rsidR="00803527" w:rsidRPr="00BB755E">
        <w:rPr>
          <w:spacing w:val="-5"/>
        </w:rPr>
        <w:t xml:space="preserve"> </w:t>
      </w:r>
      <w:r w:rsidR="00803527" w:rsidRPr="00BB755E">
        <w:rPr>
          <w:spacing w:val="-1"/>
        </w:rPr>
        <w:t>the</w:t>
      </w:r>
      <w:r w:rsidR="00803527" w:rsidRPr="00BB755E">
        <w:t xml:space="preserve"> </w:t>
      </w:r>
      <w:r w:rsidR="00803527" w:rsidRPr="00BB755E">
        <w:rPr>
          <w:spacing w:val="-1"/>
        </w:rPr>
        <w:t>department to</w:t>
      </w:r>
      <w:r w:rsidR="00803527" w:rsidRPr="00BB755E">
        <w:t xml:space="preserve"> </w:t>
      </w:r>
      <w:r w:rsidR="00803527" w:rsidRPr="00BB755E">
        <w:rPr>
          <w:spacing w:val="-1"/>
        </w:rPr>
        <w:t>which</w:t>
      </w:r>
      <w:r w:rsidR="00803527" w:rsidRPr="00BB755E">
        <w:t xml:space="preserve"> the</w:t>
      </w:r>
      <w:r w:rsidR="00803527">
        <w:t xml:space="preserve">y are </w:t>
      </w:r>
      <w:r w:rsidR="00803527" w:rsidRPr="00BB755E">
        <w:rPr>
          <w:spacing w:val="-1"/>
        </w:rPr>
        <w:t>awarded</w:t>
      </w:r>
      <w:r w:rsidR="00803527" w:rsidRPr="00BB755E">
        <w:t xml:space="preserve"> </w:t>
      </w:r>
      <w:r w:rsidR="00803527" w:rsidRPr="00BB755E">
        <w:rPr>
          <w:spacing w:val="-2"/>
        </w:rPr>
        <w:t>will</w:t>
      </w:r>
      <w:r w:rsidR="00803527" w:rsidRPr="00BB755E">
        <w:rPr>
          <w:spacing w:val="-1"/>
        </w:rPr>
        <w:t xml:space="preserve"> </w:t>
      </w:r>
      <w:r w:rsidR="00803527" w:rsidRPr="00BB755E">
        <w:t xml:space="preserve">be </w:t>
      </w:r>
      <w:r w:rsidR="00803527" w:rsidRPr="00BB755E">
        <w:rPr>
          <w:spacing w:val="-2"/>
        </w:rPr>
        <w:t>available</w:t>
      </w:r>
      <w:r w:rsidR="00803527" w:rsidRPr="00BB755E">
        <w:t xml:space="preserve"> </w:t>
      </w:r>
      <w:r w:rsidR="00803527" w:rsidRPr="00BB755E">
        <w:rPr>
          <w:spacing w:val="-1"/>
        </w:rPr>
        <w:t xml:space="preserve">for </w:t>
      </w:r>
      <w:r w:rsidR="00803527" w:rsidRPr="00BB755E">
        <w:rPr>
          <w:spacing w:val="-2"/>
        </w:rPr>
        <w:t>recruitment</w:t>
      </w:r>
      <w:r w:rsidR="00803527" w:rsidRPr="00BB755E">
        <w:rPr>
          <w:spacing w:val="-1"/>
        </w:rPr>
        <w:t xml:space="preserve"> efforts </w:t>
      </w:r>
      <w:r w:rsidR="00803527" w:rsidRPr="00BB755E">
        <w:t>of</w:t>
      </w:r>
      <w:r w:rsidR="00803527" w:rsidRPr="00BB755E">
        <w:rPr>
          <w:spacing w:val="-1"/>
        </w:rPr>
        <w:t xml:space="preserve"> </w:t>
      </w:r>
      <w:r w:rsidR="00803527" w:rsidRPr="00BB755E">
        <w:t>other</w:t>
      </w:r>
      <w:r w:rsidR="00803527" w:rsidRPr="00BB755E">
        <w:rPr>
          <w:spacing w:val="-1"/>
        </w:rPr>
        <w:t xml:space="preserve"> </w:t>
      </w:r>
      <w:r w:rsidR="00803527" w:rsidRPr="00BB755E">
        <w:rPr>
          <w:spacing w:val="-2"/>
        </w:rPr>
        <w:t>departments.</w:t>
      </w:r>
    </w:p>
    <w:p w14:paraId="79707588" w14:textId="77777777" w:rsidR="00826C5A" w:rsidRDefault="00826C5A" w:rsidP="00826C5A">
      <w:pPr>
        <w:pStyle w:val="BodyText"/>
        <w:spacing w:before="2"/>
        <w:ind w:left="119" w:right="211"/>
        <w:rPr>
          <w:sz w:val="26"/>
        </w:rPr>
      </w:pPr>
    </w:p>
    <w:p w14:paraId="7ED4F803" w14:textId="77777777" w:rsidR="00BB76E1" w:rsidRDefault="00BB76E1">
      <w:pPr>
        <w:pStyle w:val="BodyText"/>
        <w:spacing w:before="4"/>
        <w:rPr>
          <w:sz w:val="23"/>
        </w:rPr>
      </w:pPr>
    </w:p>
    <w:p w14:paraId="4B3B8FF0" w14:textId="77777777" w:rsidR="00BB76E1" w:rsidRDefault="007870DA">
      <w:pPr>
        <w:pStyle w:val="Heading1"/>
        <w:spacing w:before="1"/>
        <w:ind w:left="180"/>
      </w:pPr>
      <w:r>
        <w:t>Other Best Practices</w:t>
      </w:r>
    </w:p>
    <w:p w14:paraId="470DC5F9" w14:textId="77777777" w:rsidR="00BB76E1" w:rsidRDefault="007870DA">
      <w:pPr>
        <w:pStyle w:val="ListParagraph"/>
        <w:numPr>
          <w:ilvl w:val="0"/>
          <w:numId w:val="2"/>
        </w:numPr>
        <w:tabs>
          <w:tab w:val="left" w:pos="839"/>
          <w:tab w:val="left" w:pos="840"/>
        </w:tabs>
        <w:spacing w:before="177"/>
        <w:ind w:right="231"/>
        <w:rPr>
          <w:sz w:val="24"/>
        </w:rPr>
      </w:pPr>
      <w:r>
        <w:rPr>
          <w:sz w:val="24"/>
        </w:rPr>
        <w:t>Teaching Assistantships are intended primarily to support doctoral students and master’s students earning terminal or professional degrees in the field (such as the MFA, MSW, etc.). PhD students should be recruited with the expectation of being supported at 50% for at least 5 years unless the time to degree in the discipline is characteristically shorter. Likewise, students earning the DMA, MFA, MSW, or other similar terminal and professional degrees should be recruited with the expectation of being supported at 25% to 50% for the number of years typically required to complete the program. MA students should not be offered teaching assistantships while doctoral students go unsupported or are poorly</w:t>
      </w:r>
      <w:r>
        <w:rPr>
          <w:spacing w:val="-5"/>
          <w:sz w:val="24"/>
        </w:rPr>
        <w:t xml:space="preserve"> </w:t>
      </w:r>
      <w:r>
        <w:rPr>
          <w:sz w:val="24"/>
        </w:rPr>
        <w:t>supported.</w:t>
      </w:r>
    </w:p>
    <w:p w14:paraId="7670CED9" w14:textId="77777777" w:rsidR="00BB76E1" w:rsidRDefault="007870DA">
      <w:pPr>
        <w:pStyle w:val="ListParagraph"/>
        <w:numPr>
          <w:ilvl w:val="0"/>
          <w:numId w:val="2"/>
        </w:numPr>
        <w:tabs>
          <w:tab w:val="left" w:pos="839"/>
          <w:tab w:val="left" w:pos="840"/>
        </w:tabs>
        <w:spacing w:before="13" w:line="237" w:lineRule="auto"/>
        <w:ind w:right="726"/>
        <w:rPr>
          <w:sz w:val="24"/>
        </w:rPr>
      </w:pPr>
      <w:r>
        <w:rPr>
          <w:sz w:val="24"/>
        </w:rPr>
        <w:t>PhD students who seek and receive prestigious external fellowships to support their research that require extended residencies off campus should not be penalized by forfeiting support upon their</w:t>
      </w:r>
      <w:r>
        <w:rPr>
          <w:spacing w:val="-11"/>
          <w:sz w:val="24"/>
        </w:rPr>
        <w:t xml:space="preserve"> </w:t>
      </w:r>
      <w:r>
        <w:rPr>
          <w:sz w:val="24"/>
        </w:rPr>
        <w:t>return.</w:t>
      </w:r>
    </w:p>
    <w:p w14:paraId="60BC6287" w14:textId="77777777" w:rsidR="00BB76E1" w:rsidRDefault="007870DA">
      <w:pPr>
        <w:pStyle w:val="ListParagraph"/>
        <w:numPr>
          <w:ilvl w:val="0"/>
          <w:numId w:val="2"/>
        </w:numPr>
        <w:tabs>
          <w:tab w:val="left" w:pos="839"/>
          <w:tab w:val="left" w:pos="840"/>
        </w:tabs>
        <w:spacing w:before="11"/>
        <w:rPr>
          <w:sz w:val="24"/>
        </w:rPr>
      </w:pPr>
      <w:r>
        <w:rPr>
          <w:sz w:val="24"/>
        </w:rPr>
        <w:t>Doctoral students in good standing who are currently unfunded and have not yet taken</w:t>
      </w:r>
      <w:r>
        <w:rPr>
          <w:spacing w:val="-19"/>
          <w:sz w:val="24"/>
        </w:rPr>
        <w:t xml:space="preserve"> </w:t>
      </w:r>
      <w:r>
        <w:rPr>
          <w:sz w:val="24"/>
        </w:rPr>
        <w:t>the</w:t>
      </w:r>
    </w:p>
    <w:p w14:paraId="361CAD16" w14:textId="77777777" w:rsidR="00BB76E1" w:rsidRDefault="00BB76E1">
      <w:pPr>
        <w:rPr>
          <w:sz w:val="24"/>
        </w:rPr>
        <w:sectPr w:rsidR="00BB76E1">
          <w:pgSz w:w="12240" w:h="15840"/>
          <w:pgMar w:top="980" w:right="1320" w:bottom="280" w:left="1320" w:header="761" w:footer="0" w:gutter="0"/>
          <w:cols w:space="720"/>
        </w:sectPr>
      </w:pPr>
    </w:p>
    <w:p w14:paraId="0528E8E2" w14:textId="77777777" w:rsidR="00BB76E1" w:rsidRDefault="00BB76E1">
      <w:pPr>
        <w:pStyle w:val="BodyText"/>
        <w:rPr>
          <w:sz w:val="20"/>
        </w:rPr>
      </w:pPr>
    </w:p>
    <w:p w14:paraId="0D7AC8F2" w14:textId="77777777" w:rsidR="00BB76E1" w:rsidRDefault="007870DA">
      <w:pPr>
        <w:pStyle w:val="BodyText"/>
        <w:spacing w:before="220"/>
        <w:ind w:left="700" w:right="209"/>
      </w:pPr>
      <w:r>
        <w:t>comprehensive exams should be placed on appropriate funding before offers are made to prospective students.</w:t>
      </w:r>
    </w:p>
    <w:p w14:paraId="3A7BB126" w14:textId="77777777" w:rsidR="00BB76E1" w:rsidRDefault="007870DA">
      <w:pPr>
        <w:pStyle w:val="ListParagraph"/>
        <w:numPr>
          <w:ilvl w:val="0"/>
          <w:numId w:val="1"/>
        </w:numPr>
        <w:tabs>
          <w:tab w:val="left" w:pos="699"/>
          <w:tab w:val="left" w:pos="700"/>
        </w:tabs>
        <w:spacing w:before="11"/>
        <w:ind w:right="403"/>
        <w:rPr>
          <w:sz w:val="24"/>
        </w:rPr>
      </w:pPr>
      <w:r>
        <w:rPr>
          <w:sz w:val="24"/>
        </w:rPr>
        <w:t>In those larger units in which the TA allocation is subdivided according to degree programs, sub-tracks, or specializations, the practices listed above should be uniformly applied within the respective degree program, sub-track, or</w:t>
      </w:r>
      <w:r>
        <w:rPr>
          <w:spacing w:val="-16"/>
          <w:sz w:val="24"/>
        </w:rPr>
        <w:t xml:space="preserve"> </w:t>
      </w:r>
      <w:r>
        <w:rPr>
          <w:sz w:val="24"/>
        </w:rPr>
        <w:t>specialization.</w:t>
      </w:r>
    </w:p>
    <w:p w14:paraId="3647D25A" w14:textId="77777777" w:rsidR="00BB76E1" w:rsidRDefault="007870DA">
      <w:pPr>
        <w:pStyle w:val="ListParagraph"/>
        <w:numPr>
          <w:ilvl w:val="0"/>
          <w:numId w:val="1"/>
        </w:numPr>
        <w:tabs>
          <w:tab w:val="left" w:pos="699"/>
          <w:tab w:val="left" w:pos="700"/>
        </w:tabs>
        <w:spacing w:before="33" w:line="274" w:lineRule="exact"/>
        <w:ind w:right="2700"/>
        <w:rPr>
          <w:sz w:val="24"/>
        </w:rPr>
      </w:pPr>
      <w:r>
        <w:rPr>
          <w:sz w:val="24"/>
        </w:rPr>
        <w:t>A link to the webpage on Graduate Funding can be found</w:t>
      </w:r>
      <w:r>
        <w:rPr>
          <w:spacing w:val="-12"/>
          <w:sz w:val="24"/>
        </w:rPr>
        <w:t xml:space="preserve"> </w:t>
      </w:r>
      <w:r>
        <w:rPr>
          <w:sz w:val="24"/>
        </w:rPr>
        <w:t xml:space="preserve">here: </w:t>
      </w:r>
      <w:hyperlink r:id="rId15">
        <w:r>
          <w:rPr>
            <w:color w:val="0563C1"/>
            <w:sz w:val="24"/>
            <w:u w:val="single" w:color="0563C1"/>
          </w:rPr>
          <w:t>https://clas.uiowa.edu/research/graduate-funding</w:t>
        </w:r>
        <w:r>
          <w:rPr>
            <w:sz w:val="24"/>
          </w:rPr>
          <w:t>.</w:t>
        </w:r>
      </w:hyperlink>
    </w:p>
    <w:p w14:paraId="7C5D8E79" w14:textId="77777777" w:rsidR="00BB76E1" w:rsidRDefault="00BB76E1">
      <w:pPr>
        <w:pStyle w:val="BodyText"/>
        <w:rPr>
          <w:sz w:val="20"/>
        </w:rPr>
      </w:pPr>
    </w:p>
    <w:p w14:paraId="2C2FB89C" w14:textId="77777777" w:rsidR="00BB76E1" w:rsidRDefault="00BB76E1">
      <w:pPr>
        <w:pStyle w:val="BodyText"/>
        <w:rPr>
          <w:sz w:val="20"/>
        </w:rPr>
      </w:pPr>
    </w:p>
    <w:p w14:paraId="3DCA0DDE" w14:textId="77777777" w:rsidR="00BB76E1" w:rsidRDefault="00BB76E1">
      <w:pPr>
        <w:pStyle w:val="BodyText"/>
        <w:spacing w:before="7"/>
        <w:rPr>
          <w:sz w:val="17"/>
        </w:rPr>
      </w:pPr>
    </w:p>
    <w:p w14:paraId="0B82C549" w14:textId="77777777" w:rsidR="00BB76E1" w:rsidRDefault="007870DA">
      <w:pPr>
        <w:pStyle w:val="Heading1"/>
        <w:spacing w:before="90" w:line="270" w:lineRule="exact"/>
        <w:ind w:left="100"/>
      </w:pPr>
      <w:bookmarkStart w:id="6" w:name="Offer_Letter"/>
      <w:bookmarkEnd w:id="6"/>
      <w:r>
        <w:t>Offer Letter</w:t>
      </w:r>
    </w:p>
    <w:p w14:paraId="32D72782" w14:textId="3F74A1EF" w:rsidR="00BB76E1" w:rsidRDefault="007870DA">
      <w:pPr>
        <w:pStyle w:val="BodyText"/>
        <w:ind w:left="100" w:right="232"/>
      </w:pPr>
      <w:r>
        <w:t xml:space="preserve">The templates are available at </w:t>
      </w:r>
      <w:hyperlink r:id="rId16">
        <w:r>
          <w:rPr>
            <w:color w:val="0000FF"/>
            <w:u w:val="single" w:color="0000FF"/>
          </w:rPr>
          <w:t>http://clas.uiowa.edu/deos/administrative-manual-graduate-</w:t>
        </w:r>
      </w:hyperlink>
      <w:r>
        <w:rPr>
          <w:color w:val="0000FF"/>
          <w:u w:val="single" w:color="0000FF"/>
        </w:rPr>
        <w:t xml:space="preserve"> </w:t>
      </w:r>
      <w:hyperlink r:id="rId17">
        <w:r>
          <w:rPr>
            <w:color w:val="0000FF"/>
            <w:u w:val="single" w:color="0000FF"/>
          </w:rPr>
          <w:t>appointments</w:t>
        </w:r>
        <w:r>
          <w:t>.</w:t>
        </w:r>
      </w:hyperlink>
      <w:r>
        <w:t xml:space="preserve"> The templates should be used as a guideline when preparing your offer letters to teaching assistants for appointments in academic year 201</w:t>
      </w:r>
      <w:r w:rsidR="002A6BC7">
        <w:t>9</w:t>
      </w:r>
      <w:r>
        <w:t>-20</w:t>
      </w:r>
      <w:r w:rsidR="002A6BC7">
        <w:t>20</w:t>
      </w:r>
      <w:r>
        <w:t xml:space="preserve">. The templates are located under “Forms.” Please note that teaching assistants should be made aware of the health/dental insurance options available to them See </w:t>
      </w:r>
      <w:hyperlink r:id="rId18">
        <w:r>
          <w:rPr>
            <w:color w:val="0563C1"/>
            <w:u w:val="single" w:color="0563C1"/>
          </w:rPr>
          <w:t>https://www.grad.uiowa.edu/graduate-assistant-</w:t>
        </w:r>
      </w:hyperlink>
      <w:r>
        <w:rPr>
          <w:color w:val="0563C1"/>
          <w:u w:val="single" w:color="0563C1"/>
        </w:rPr>
        <w:t xml:space="preserve"> </w:t>
      </w:r>
      <w:hyperlink r:id="rId19">
        <w:r w:rsidR="00B5518B">
          <w:rPr>
            <w:color w:val="0563C1"/>
            <w:u w:val="single" w:color="0563C1"/>
          </w:rPr>
          <w:t>employment-201</w:t>
        </w:r>
        <w:r w:rsidR="002A6BC7">
          <w:rPr>
            <w:color w:val="0563C1"/>
            <w:u w:val="single" w:color="0563C1"/>
          </w:rPr>
          <w:t>9</w:t>
        </w:r>
        <w:r>
          <w:rPr>
            <w:color w:val="0563C1"/>
            <w:u w:val="single" w:color="0563C1"/>
          </w:rPr>
          <w:t>-</w:t>
        </w:r>
        <w:r w:rsidR="00B5518B">
          <w:rPr>
            <w:color w:val="0563C1"/>
            <w:u w:val="single" w:color="0563C1"/>
          </w:rPr>
          <w:t>20</w:t>
        </w:r>
        <w:r w:rsidR="002A6BC7">
          <w:rPr>
            <w:color w:val="0563C1"/>
            <w:u w:val="single" w:color="0563C1"/>
          </w:rPr>
          <w:t>20</w:t>
        </w:r>
        <w:r>
          <w:t>.</w:t>
        </w:r>
      </w:hyperlink>
      <w:r>
        <w:t xml:space="preserve"> Any additional health/dental insurance information can be obtained from the University Benefits Office.</w:t>
      </w:r>
    </w:p>
    <w:sectPr w:rsidR="00BB76E1">
      <w:pgSz w:w="12240" w:h="15840"/>
      <w:pgMar w:top="980" w:right="1320" w:bottom="280" w:left="1460" w:header="76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B210D" w14:textId="77777777" w:rsidR="005C5370" w:rsidRDefault="005C5370">
      <w:r>
        <w:separator/>
      </w:r>
    </w:p>
  </w:endnote>
  <w:endnote w:type="continuationSeparator" w:id="0">
    <w:p w14:paraId="44ED3A5C" w14:textId="77777777" w:rsidR="005C5370" w:rsidRDefault="005C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6DFB0" w14:textId="77777777" w:rsidR="005C5370" w:rsidRDefault="005C5370">
      <w:r>
        <w:separator/>
      </w:r>
    </w:p>
  </w:footnote>
  <w:footnote w:type="continuationSeparator" w:id="0">
    <w:p w14:paraId="6945F184" w14:textId="77777777" w:rsidR="005C5370" w:rsidRDefault="005C5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8F3D6" w14:textId="312FDAFB" w:rsidR="00BB76E1" w:rsidRDefault="00E073E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BA0F239" wp14:editId="1C883A43">
              <wp:simplePos x="0" y="0"/>
              <wp:positionH relativeFrom="page">
                <wp:posOffset>6762750</wp:posOffset>
              </wp:positionH>
              <wp:positionV relativeFrom="page">
                <wp:posOffset>470535</wp:posOffset>
              </wp:positionV>
              <wp:extent cx="121920" cy="165735"/>
              <wp:effectExtent l="635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96087" w14:textId="77777777" w:rsidR="00BB76E1" w:rsidRDefault="007870DA">
                          <w:pPr>
                            <w:spacing w:line="245" w:lineRule="exact"/>
                            <w:ind w:left="40"/>
                            <w:rPr>
                              <w:rFonts w:ascii="Calibri"/>
                            </w:rPr>
                          </w:pPr>
                          <w:r>
                            <w:fldChar w:fldCharType="begin"/>
                          </w:r>
                          <w:r>
                            <w:rPr>
                              <w:rFonts w:ascii="Calibri"/>
                            </w:rPr>
                            <w:instrText xml:space="preserve"> PAGE </w:instrText>
                          </w:r>
                          <w:r>
                            <w:fldChar w:fldCharType="separate"/>
                          </w:r>
                          <w:r w:rsidR="00576A6E">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BA0F239" id="_x0000_t202" coordsize="21600,21600" o:spt="202" path="m0,0l0,21600,21600,21600,21600,0xe">
              <v:stroke joinstyle="miter"/>
              <v:path gradientshapeok="t" o:connecttype="rect"/>
            </v:shapetype>
            <v:shape id="Text Box 1" o:spid="_x0000_s1026" type="#_x0000_t202" style="position:absolute;margin-left:532.5pt;margin-top:37.0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" filled="f" stroked="f">
              <v:textbox inset="0,0,0,0">
                <w:txbxContent>
                  <w:p w14:paraId="78796087" w14:textId="77777777" w:rsidR="00BB76E1" w:rsidRDefault="007870DA">
                    <w:pPr>
                      <w:spacing w:line="245" w:lineRule="exact"/>
                      <w:ind w:left="40"/>
                      <w:rPr>
                        <w:rFonts w:ascii="Calibri"/>
                      </w:rPr>
                    </w:pPr>
                    <w:r>
                      <w:fldChar w:fldCharType="begin"/>
                    </w:r>
                    <w:r>
                      <w:rPr>
                        <w:rFonts w:ascii="Calibri"/>
                      </w:rPr>
                      <w:instrText xml:space="preserve"> PAGE </w:instrText>
                    </w:r>
                    <w:r>
                      <w:fldChar w:fldCharType="separate"/>
                    </w:r>
                    <w:r w:rsidR="00803527">
                      <w:rPr>
                        <w:rFonts w:ascii="Calibri"/>
                        <w:noProof/>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80379"/>
    <w:multiLevelType w:val="hybridMultilevel"/>
    <w:tmpl w:val="C4C2E008"/>
    <w:lvl w:ilvl="0" w:tplc="1A9E8408">
      <w:numFmt w:val="bullet"/>
      <w:lvlText w:val=""/>
      <w:lvlJc w:val="left"/>
      <w:pPr>
        <w:ind w:left="840" w:hanging="360"/>
      </w:pPr>
      <w:rPr>
        <w:rFonts w:ascii="Symbol" w:eastAsia="Symbol" w:hAnsi="Symbol" w:cs="Symbol" w:hint="default"/>
        <w:w w:val="100"/>
        <w:sz w:val="24"/>
        <w:szCs w:val="24"/>
      </w:rPr>
    </w:lvl>
    <w:lvl w:ilvl="1" w:tplc="B89A709E">
      <w:numFmt w:val="bullet"/>
      <w:lvlText w:val="•"/>
      <w:lvlJc w:val="left"/>
      <w:pPr>
        <w:ind w:left="1716" w:hanging="360"/>
      </w:pPr>
      <w:rPr>
        <w:rFonts w:hint="default"/>
      </w:rPr>
    </w:lvl>
    <w:lvl w:ilvl="2" w:tplc="FEFEE182">
      <w:numFmt w:val="bullet"/>
      <w:lvlText w:val="•"/>
      <w:lvlJc w:val="left"/>
      <w:pPr>
        <w:ind w:left="2592" w:hanging="360"/>
      </w:pPr>
      <w:rPr>
        <w:rFonts w:hint="default"/>
      </w:rPr>
    </w:lvl>
    <w:lvl w:ilvl="3" w:tplc="E94E0BFE">
      <w:numFmt w:val="bullet"/>
      <w:lvlText w:val="•"/>
      <w:lvlJc w:val="left"/>
      <w:pPr>
        <w:ind w:left="3468" w:hanging="360"/>
      </w:pPr>
      <w:rPr>
        <w:rFonts w:hint="default"/>
      </w:rPr>
    </w:lvl>
    <w:lvl w:ilvl="4" w:tplc="5E9CF990">
      <w:numFmt w:val="bullet"/>
      <w:lvlText w:val="•"/>
      <w:lvlJc w:val="left"/>
      <w:pPr>
        <w:ind w:left="4344" w:hanging="360"/>
      </w:pPr>
      <w:rPr>
        <w:rFonts w:hint="default"/>
      </w:rPr>
    </w:lvl>
    <w:lvl w:ilvl="5" w:tplc="C7FE137A">
      <w:numFmt w:val="bullet"/>
      <w:lvlText w:val="•"/>
      <w:lvlJc w:val="left"/>
      <w:pPr>
        <w:ind w:left="5220" w:hanging="360"/>
      </w:pPr>
      <w:rPr>
        <w:rFonts w:hint="default"/>
      </w:rPr>
    </w:lvl>
    <w:lvl w:ilvl="6" w:tplc="6C0A4EDC">
      <w:numFmt w:val="bullet"/>
      <w:lvlText w:val="•"/>
      <w:lvlJc w:val="left"/>
      <w:pPr>
        <w:ind w:left="6096" w:hanging="360"/>
      </w:pPr>
      <w:rPr>
        <w:rFonts w:hint="default"/>
      </w:rPr>
    </w:lvl>
    <w:lvl w:ilvl="7" w:tplc="CECE631A">
      <w:numFmt w:val="bullet"/>
      <w:lvlText w:val="•"/>
      <w:lvlJc w:val="left"/>
      <w:pPr>
        <w:ind w:left="6972" w:hanging="360"/>
      </w:pPr>
      <w:rPr>
        <w:rFonts w:hint="default"/>
      </w:rPr>
    </w:lvl>
    <w:lvl w:ilvl="8" w:tplc="507E6FA2">
      <w:numFmt w:val="bullet"/>
      <w:lvlText w:val="•"/>
      <w:lvlJc w:val="left"/>
      <w:pPr>
        <w:ind w:left="7848" w:hanging="360"/>
      </w:pPr>
      <w:rPr>
        <w:rFonts w:hint="default"/>
      </w:rPr>
    </w:lvl>
  </w:abstractNum>
  <w:abstractNum w:abstractNumId="1" w15:restartNumberingAfterBreak="0">
    <w:nsid w:val="417B3F30"/>
    <w:multiLevelType w:val="hybridMultilevel"/>
    <w:tmpl w:val="C3E6ED20"/>
    <w:lvl w:ilvl="0" w:tplc="791A5BC2">
      <w:numFmt w:val="bullet"/>
      <w:lvlText w:val=""/>
      <w:lvlJc w:val="left"/>
      <w:pPr>
        <w:ind w:left="700" w:hanging="360"/>
      </w:pPr>
      <w:rPr>
        <w:rFonts w:ascii="Symbol" w:eastAsia="Symbol" w:hAnsi="Symbol" w:cs="Symbol" w:hint="default"/>
        <w:w w:val="100"/>
        <w:sz w:val="24"/>
        <w:szCs w:val="24"/>
      </w:rPr>
    </w:lvl>
    <w:lvl w:ilvl="1" w:tplc="A6101EE0">
      <w:numFmt w:val="bullet"/>
      <w:lvlText w:val="•"/>
      <w:lvlJc w:val="left"/>
      <w:pPr>
        <w:ind w:left="1576" w:hanging="360"/>
      </w:pPr>
      <w:rPr>
        <w:rFonts w:hint="default"/>
      </w:rPr>
    </w:lvl>
    <w:lvl w:ilvl="2" w:tplc="E2FA4482">
      <w:numFmt w:val="bullet"/>
      <w:lvlText w:val="•"/>
      <w:lvlJc w:val="left"/>
      <w:pPr>
        <w:ind w:left="2452" w:hanging="360"/>
      </w:pPr>
      <w:rPr>
        <w:rFonts w:hint="default"/>
      </w:rPr>
    </w:lvl>
    <w:lvl w:ilvl="3" w:tplc="8F46E380">
      <w:numFmt w:val="bullet"/>
      <w:lvlText w:val="•"/>
      <w:lvlJc w:val="left"/>
      <w:pPr>
        <w:ind w:left="3328" w:hanging="360"/>
      </w:pPr>
      <w:rPr>
        <w:rFonts w:hint="default"/>
      </w:rPr>
    </w:lvl>
    <w:lvl w:ilvl="4" w:tplc="44E2246A">
      <w:numFmt w:val="bullet"/>
      <w:lvlText w:val="•"/>
      <w:lvlJc w:val="left"/>
      <w:pPr>
        <w:ind w:left="4204" w:hanging="360"/>
      </w:pPr>
      <w:rPr>
        <w:rFonts w:hint="default"/>
      </w:rPr>
    </w:lvl>
    <w:lvl w:ilvl="5" w:tplc="68224490">
      <w:numFmt w:val="bullet"/>
      <w:lvlText w:val="•"/>
      <w:lvlJc w:val="left"/>
      <w:pPr>
        <w:ind w:left="5080" w:hanging="360"/>
      </w:pPr>
      <w:rPr>
        <w:rFonts w:hint="default"/>
      </w:rPr>
    </w:lvl>
    <w:lvl w:ilvl="6" w:tplc="D234904E">
      <w:numFmt w:val="bullet"/>
      <w:lvlText w:val="•"/>
      <w:lvlJc w:val="left"/>
      <w:pPr>
        <w:ind w:left="5956" w:hanging="360"/>
      </w:pPr>
      <w:rPr>
        <w:rFonts w:hint="default"/>
      </w:rPr>
    </w:lvl>
    <w:lvl w:ilvl="7" w:tplc="A036B6D2">
      <w:numFmt w:val="bullet"/>
      <w:lvlText w:val="•"/>
      <w:lvlJc w:val="left"/>
      <w:pPr>
        <w:ind w:left="6832" w:hanging="360"/>
      </w:pPr>
      <w:rPr>
        <w:rFonts w:hint="default"/>
      </w:rPr>
    </w:lvl>
    <w:lvl w:ilvl="8" w:tplc="20388DFA">
      <w:numFmt w:val="bullet"/>
      <w:lvlText w:val="•"/>
      <w:lvlJc w:val="left"/>
      <w:pPr>
        <w:ind w:left="7708" w:hanging="360"/>
      </w:pPr>
      <w:rPr>
        <w:rFonts w:hint="default"/>
      </w:rPr>
    </w:lvl>
  </w:abstractNum>
  <w:abstractNum w:abstractNumId="2" w15:restartNumberingAfterBreak="0">
    <w:nsid w:val="797E2D93"/>
    <w:multiLevelType w:val="hybridMultilevel"/>
    <w:tmpl w:val="51F0BFF2"/>
    <w:lvl w:ilvl="0" w:tplc="60D4391C">
      <w:numFmt w:val="bullet"/>
      <w:lvlText w:val=""/>
      <w:lvlJc w:val="left"/>
      <w:pPr>
        <w:ind w:left="480" w:hanging="360"/>
      </w:pPr>
      <w:rPr>
        <w:rFonts w:ascii="Symbol" w:eastAsia="Symbol" w:hAnsi="Symbol" w:cs="Symbol" w:hint="default"/>
        <w:w w:val="97"/>
        <w:sz w:val="20"/>
        <w:szCs w:val="20"/>
      </w:rPr>
    </w:lvl>
    <w:lvl w:ilvl="1" w:tplc="440CFCB8">
      <w:start w:val="1"/>
      <w:numFmt w:val="decimal"/>
      <w:lvlText w:val="%2."/>
      <w:lvlJc w:val="left"/>
      <w:pPr>
        <w:ind w:left="717" w:hanging="238"/>
        <w:jc w:val="left"/>
      </w:pPr>
      <w:rPr>
        <w:rFonts w:ascii="Times New Roman" w:eastAsia="Times New Roman" w:hAnsi="Times New Roman" w:cs="Times New Roman" w:hint="default"/>
        <w:w w:val="100"/>
        <w:sz w:val="24"/>
        <w:szCs w:val="24"/>
      </w:rPr>
    </w:lvl>
    <w:lvl w:ilvl="2" w:tplc="D4DEDD6E">
      <w:numFmt w:val="bullet"/>
      <w:lvlText w:val="•"/>
      <w:lvlJc w:val="left"/>
      <w:pPr>
        <w:ind w:left="1693" w:hanging="238"/>
      </w:pPr>
      <w:rPr>
        <w:rFonts w:hint="default"/>
      </w:rPr>
    </w:lvl>
    <w:lvl w:ilvl="3" w:tplc="70E440E0">
      <w:numFmt w:val="bullet"/>
      <w:lvlText w:val="•"/>
      <w:lvlJc w:val="left"/>
      <w:pPr>
        <w:ind w:left="2666" w:hanging="238"/>
      </w:pPr>
      <w:rPr>
        <w:rFonts w:hint="default"/>
      </w:rPr>
    </w:lvl>
    <w:lvl w:ilvl="4" w:tplc="3D10E948">
      <w:numFmt w:val="bullet"/>
      <w:lvlText w:val="•"/>
      <w:lvlJc w:val="left"/>
      <w:pPr>
        <w:ind w:left="3640" w:hanging="238"/>
      </w:pPr>
      <w:rPr>
        <w:rFonts w:hint="default"/>
      </w:rPr>
    </w:lvl>
    <w:lvl w:ilvl="5" w:tplc="0A5CA7AE">
      <w:numFmt w:val="bullet"/>
      <w:lvlText w:val="•"/>
      <w:lvlJc w:val="left"/>
      <w:pPr>
        <w:ind w:left="4613" w:hanging="238"/>
      </w:pPr>
      <w:rPr>
        <w:rFonts w:hint="default"/>
      </w:rPr>
    </w:lvl>
    <w:lvl w:ilvl="6" w:tplc="53BEF368">
      <w:numFmt w:val="bullet"/>
      <w:lvlText w:val="•"/>
      <w:lvlJc w:val="left"/>
      <w:pPr>
        <w:ind w:left="5586" w:hanging="238"/>
      </w:pPr>
      <w:rPr>
        <w:rFonts w:hint="default"/>
      </w:rPr>
    </w:lvl>
    <w:lvl w:ilvl="7" w:tplc="8982A940">
      <w:numFmt w:val="bullet"/>
      <w:lvlText w:val="•"/>
      <w:lvlJc w:val="left"/>
      <w:pPr>
        <w:ind w:left="6560" w:hanging="238"/>
      </w:pPr>
      <w:rPr>
        <w:rFonts w:hint="default"/>
      </w:rPr>
    </w:lvl>
    <w:lvl w:ilvl="8" w:tplc="98568D44">
      <w:numFmt w:val="bullet"/>
      <w:lvlText w:val="•"/>
      <w:lvlJc w:val="left"/>
      <w:pPr>
        <w:ind w:left="7533" w:hanging="238"/>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6E1"/>
    <w:rsid w:val="00124480"/>
    <w:rsid w:val="002A6BC7"/>
    <w:rsid w:val="00414A6B"/>
    <w:rsid w:val="004C5F39"/>
    <w:rsid w:val="00576A6E"/>
    <w:rsid w:val="005C5370"/>
    <w:rsid w:val="00697DBA"/>
    <w:rsid w:val="006B2C00"/>
    <w:rsid w:val="006F4EA9"/>
    <w:rsid w:val="007870DA"/>
    <w:rsid w:val="00803527"/>
    <w:rsid w:val="00826C5A"/>
    <w:rsid w:val="00843F7A"/>
    <w:rsid w:val="00B5518B"/>
    <w:rsid w:val="00BA5524"/>
    <w:rsid w:val="00BB76E1"/>
    <w:rsid w:val="00BC45F7"/>
    <w:rsid w:val="00C13F07"/>
    <w:rsid w:val="00E073E5"/>
    <w:rsid w:val="00E45526"/>
    <w:rsid w:val="00EB4BA2"/>
    <w:rsid w:val="00F00170"/>
    <w:rsid w:val="00FF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CE7F57"/>
  <w15:docId w15:val="{3371C34B-7E50-456A-B159-AE14EECB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26C5A"/>
    <w:rPr>
      <w:color w:val="0000FF" w:themeColor="hyperlink"/>
      <w:u w:val="single"/>
    </w:rPr>
  </w:style>
  <w:style w:type="character" w:styleId="FollowedHyperlink">
    <w:name w:val="FollowedHyperlink"/>
    <w:basedOn w:val="DefaultParagraphFont"/>
    <w:uiPriority w:val="99"/>
    <w:semiHidden/>
    <w:unhideWhenUsed/>
    <w:rsid w:val="002A6B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las.uiowa.edu/deos/administrative-manual-recruitment-minority-teaching-assistants" TargetMode="External"/><Relationship Id="rId18" Type="http://schemas.openxmlformats.org/officeDocument/2006/relationships/hyperlink" Target="https://www.grad.uiowa.edu/graduate-assistant-employment-2017-201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las.uiowa.edu/faculty/undergraduate-teaching-assistants" TargetMode="External"/><Relationship Id="rId12" Type="http://schemas.openxmlformats.org/officeDocument/2006/relationships/hyperlink" Target="https://www.ada.gov/pubs/adastatute08.htm" TargetMode="External"/><Relationship Id="rId17" Type="http://schemas.openxmlformats.org/officeDocument/2006/relationships/hyperlink" Target="http://clas.uiowa.edu/deos/administrative-manual-graduate-appointments" TargetMode="External"/><Relationship Id="rId2" Type="http://schemas.openxmlformats.org/officeDocument/2006/relationships/styles" Target="styles.xml"/><Relationship Id="rId16" Type="http://schemas.openxmlformats.org/officeDocument/2006/relationships/hyperlink" Target="http://clas.uiowa.edu/deos/administrative-manual-graduate-appointme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as.uiowa.edu/deos/administrative-manual-graduate-appointments" TargetMode="External"/><Relationship Id="rId5" Type="http://schemas.openxmlformats.org/officeDocument/2006/relationships/footnotes" Target="footnotes.xml"/><Relationship Id="rId15" Type="http://schemas.openxmlformats.org/officeDocument/2006/relationships/hyperlink" Target="https://clas.uiowa.edu/research/graduate-funding" TargetMode="External"/><Relationship Id="rId10" Type="http://schemas.openxmlformats.org/officeDocument/2006/relationships/hyperlink" Target="http://cgsnet.org/april-15-resolution" TargetMode="External"/><Relationship Id="rId19" Type="http://schemas.openxmlformats.org/officeDocument/2006/relationships/hyperlink" Target="https://www.grad.uiowa.edu/graduate-assistant-employment-2017-2018" TargetMode="External"/><Relationship Id="rId4" Type="http://schemas.openxmlformats.org/officeDocument/2006/relationships/webSettings" Target="webSettings.xml"/><Relationship Id="rId9" Type="http://schemas.openxmlformats.org/officeDocument/2006/relationships/hyperlink" Target="http://clas.uiowa.edu/deos/administrative-manual-graduate-appointments" TargetMode="External"/><Relationship Id="rId14" Type="http://schemas.openxmlformats.org/officeDocument/2006/relationships/hyperlink" Target="http://clas.uiowa.edu/deos/administrative-manual-recruitment-minority-teaching-assist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1758</Words>
  <Characters>10023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Gerstenberger, Allison M</dc:creator>
  <cp:lastModifiedBy>Bierman, Allison M</cp:lastModifiedBy>
  <cp:revision>2</cp:revision>
  <dcterms:created xsi:type="dcterms:W3CDTF">2019-03-08T14:15:00Z</dcterms:created>
  <dcterms:modified xsi:type="dcterms:W3CDTF">2019-03-08T14:15:00Z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Creator">
    <vt:lpwstr>Acrobat PDFMaker 15 for Word</vt:lpwstr>
  </property>
  <property fmtid="{D5CDD505-2E9C-101B-9397-08002B2CF9AE}" pid="4" name="LastSaved">
    <vt:filetime>2018-02-06T00:00:00Z</vt:filetime>
  </property>
</Properties>
</file>