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1ED8" w14:textId="6ED9076C" w:rsidR="001946CC" w:rsidRDefault="0040372C">
      <w:pPr>
        <w:jc w:val="center"/>
        <w:rPr>
          <w:b/>
          <w:bCs/>
          <w:sz w:val="28"/>
          <w:szCs w:val="28"/>
          <w:u w:val="single"/>
        </w:rPr>
      </w:pPr>
      <w:r w:rsidRPr="00E044D2">
        <w:rPr>
          <w:b/>
          <w:bCs/>
          <w:sz w:val="28"/>
          <w:szCs w:val="28"/>
          <w:u w:val="single"/>
        </w:rPr>
        <w:t>Undergraduate Education in the College of Liberal Arts and Sciences</w:t>
      </w:r>
    </w:p>
    <w:p w14:paraId="04CF4FA2" w14:textId="77777777" w:rsidR="008A2792" w:rsidRDefault="008A2792" w:rsidP="00870996">
      <w:pPr>
        <w:rPr>
          <w:b/>
          <w:bCs/>
          <w:sz w:val="24"/>
          <w:szCs w:val="24"/>
        </w:rPr>
      </w:pPr>
    </w:p>
    <w:p w14:paraId="65CAECA3" w14:textId="17DD1311" w:rsidR="00AF5B25" w:rsidRPr="008A2792" w:rsidRDefault="001545BF" w:rsidP="00870996">
      <w:pPr>
        <w:rPr>
          <w:b/>
          <w:bCs/>
          <w:sz w:val="24"/>
          <w:szCs w:val="24"/>
        </w:rPr>
      </w:pPr>
      <w:r w:rsidRPr="008A2792">
        <w:rPr>
          <w:b/>
          <w:bCs/>
          <w:sz w:val="24"/>
          <w:szCs w:val="24"/>
        </w:rPr>
        <w:t>Current Status</w:t>
      </w:r>
      <w:r w:rsidR="00906A72" w:rsidRPr="008A2792">
        <w:rPr>
          <w:b/>
          <w:bCs/>
          <w:sz w:val="24"/>
          <w:szCs w:val="24"/>
        </w:rPr>
        <w:t xml:space="preserve"> &amp;</w:t>
      </w:r>
      <w:r w:rsidRPr="008A2792">
        <w:rPr>
          <w:b/>
          <w:bCs/>
          <w:sz w:val="24"/>
          <w:szCs w:val="24"/>
        </w:rPr>
        <w:t xml:space="preserve"> Successes</w:t>
      </w:r>
    </w:p>
    <w:p w14:paraId="4C67827E" w14:textId="5C972929" w:rsidR="000F5D15" w:rsidRPr="008A2792" w:rsidRDefault="000F5D15" w:rsidP="00341E93">
      <w:pPr>
        <w:spacing w:after="0" w:line="240" w:lineRule="auto"/>
        <w:rPr>
          <w:rFonts w:cstheme="minorHAnsi"/>
          <w:sz w:val="24"/>
          <w:szCs w:val="24"/>
        </w:rPr>
      </w:pPr>
      <w:r w:rsidRPr="008A2792">
        <w:rPr>
          <w:rFonts w:cstheme="minorHAnsi"/>
          <w:sz w:val="24"/>
          <w:szCs w:val="24"/>
        </w:rPr>
        <w:t>The College of Liberal Arts &amp; Sciences is distinguished among UI colleges by the broad spectrum of disciplines i</w:t>
      </w:r>
      <w:r w:rsidR="00B01241" w:rsidRPr="008A2792">
        <w:rPr>
          <w:rFonts w:cstheme="minorHAnsi"/>
          <w:sz w:val="24"/>
          <w:szCs w:val="24"/>
        </w:rPr>
        <w:t>t</w:t>
      </w:r>
      <w:r w:rsidRPr="008A2792">
        <w:rPr>
          <w:rFonts w:cstheme="minorHAnsi"/>
          <w:sz w:val="24"/>
          <w:szCs w:val="24"/>
        </w:rPr>
        <w:t xml:space="preserve"> houses</w:t>
      </w:r>
      <w:r w:rsidR="00E044D2" w:rsidRPr="008A2792">
        <w:rPr>
          <w:rFonts w:cstheme="minorHAnsi"/>
          <w:sz w:val="24"/>
          <w:szCs w:val="24"/>
        </w:rPr>
        <w:t xml:space="preserve">. </w:t>
      </w:r>
      <w:r w:rsidRPr="008A2792">
        <w:rPr>
          <w:rFonts w:cstheme="minorHAnsi"/>
          <w:sz w:val="24"/>
          <w:szCs w:val="24"/>
        </w:rPr>
        <w:t xml:space="preserve">This broad scope already positions CLAS to address challenges that require interdisciplinary collaborations, multiple perspectives, flexible methodologies, and creative approaches to understanding our complex world and solving our most challenging problems. CLAS provides leadership in nurturing cross-disciplinary teams </w:t>
      </w:r>
      <w:r w:rsidR="00B01241" w:rsidRPr="008A2792">
        <w:rPr>
          <w:rFonts w:cstheme="minorHAnsi"/>
          <w:sz w:val="24"/>
          <w:szCs w:val="24"/>
        </w:rPr>
        <w:t>that bring together faculty from multiple units for exciting innovations in the classroom</w:t>
      </w:r>
      <w:r w:rsidR="00E044D2" w:rsidRPr="008A2792">
        <w:rPr>
          <w:rFonts w:cstheme="minorHAnsi"/>
          <w:sz w:val="24"/>
          <w:szCs w:val="24"/>
        </w:rPr>
        <w:t xml:space="preserve">. </w:t>
      </w:r>
      <w:r w:rsidR="00B01241" w:rsidRPr="008A2792">
        <w:rPr>
          <w:rFonts w:cstheme="minorHAnsi"/>
          <w:sz w:val="24"/>
          <w:szCs w:val="24"/>
        </w:rPr>
        <w:t xml:space="preserve">Such teams also model interdisciplinary work for students. </w:t>
      </w:r>
    </w:p>
    <w:p w14:paraId="3A060AE5" w14:textId="77777777" w:rsidR="000F5D15" w:rsidRPr="008A2792" w:rsidRDefault="000F5D15" w:rsidP="00341E93">
      <w:pPr>
        <w:spacing w:after="0" w:line="240" w:lineRule="auto"/>
        <w:rPr>
          <w:rFonts w:cstheme="minorHAnsi"/>
          <w:sz w:val="24"/>
          <w:szCs w:val="24"/>
        </w:rPr>
      </w:pPr>
    </w:p>
    <w:p w14:paraId="491E32C8" w14:textId="611578DF" w:rsidR="001E48F1" w:rsidRPr="008A2792" w:rsidRDefault="00A71735" w:rsidP="00341E93">
      <w:pPr>
        <w:spacing w:after="0" w:line="240" w:lineRule="auto"/>
        <w:rPr>
          <w:rFonts w:cstheme="minorHAnsi"/>
          <w:sz w:val="24"/>
          <w:szCs w:val="24"/>
        </w:rPr>
      </w:pPr>
      <w:r w:rsidRPr="008A2792">
        <w:rPr>
          <w:rFonts w:cstheme="minorHAnsi"/>
          <w:sz w:val="24"/>
          <w:szCs w:val="24"/>
        </w:rPr>
        <w:t xml:space="preserve">CLAS has two active </w:t>
      </w:r>
      <w:r w:rsidR="00D323A2" w:rsidRPr="008A2792">
        <w:rPr>
          <w:rFonts w:cstheme="minorHAnsi"/>
          <w:sz w:val="24"/>
          <w:szCs w:val="24"/>
        </w:rPr>
        <w:t>standing c</w:t>
      </w:r>
      <w:r w:rsidRPr="008A2792">
        <w:rPr>
          <w:rFonts w:cstheme="minorHAnsi"/>
          <w:sz w:val="24"/>
          <w:szCs w:val="24"/>
        </w:rPr>
        <w:t xml:space="preserve">ommittees for the review and development of curriculum: </w:t>
      </w:r>
      <w:r w:rsidR="00B01241" w:rsidRPr="008A2792">
        <w:rPr>
          <w:rFonts w:cstheme="minorHAnsi"/>
          <w:sz w:val="24"/>
          <w:szCs w:val="24"/>
        </w:rPr>
        <w:t xml:space="preserve">UEPCC and GECC. </w:t>
      </w:r>
      <w:r w:rsidRPr="008A2792">
        <w:rPr>
          <w:rFonts w:cstheme="minorHAnsi"/>
          <w:sz w:val="24"/>
          <w:szCs w:val="24"/>
        </w:rPr>
        <w:t xml:space="preserve">UEPCC </w:t>
      </w:r>
      <w:r w:rsidR="00B01241" w:rsidRPr="008A2792">
        <w:rPr>
          <w:rFonts w:cstheme="minorHAnsi"/>
          <w:sz w:val="24"/>
          <w:szCs w:val="24"/>
        </w:rPr>
        <w:t xml:space="preserve">is an </w:t>
      </w:r>
      <w:r w:rsidRPr="008A2792">
        <w:rPr>
          <w:rFonts w:cstheme="minorHAnsi"/>
          <w:sz w:val="24"/>
          <w:szCs w:val="24"/>
        </w:rPr>
        <w:t>elected group that works with the Associate Dean for Undergraduate Programs &amp; Curriculum</w:t>
      </w:r>
      <w:r w:rsidR="0011410C" w:rsidRPr="008A2792">
        <w:rPr>
          <w:rFonts w:cstheme="minorHAnsi"/>
          <w:bCs/>
          <w:sz w:val="24"/>
          <w:szCs w:val="24"/>
        </w:rPr>
        <w:t xml:space="preserve"> and </w:t>
      </w:r>
      <w:r w:rsidR="0011410C" w:rsidRPr="008A2792">
        <w:rPr>
          <w:rFonts w:cstheme="minorHAnsi"/>
          <w:sz w:val="24"/>
          <w:szCs w:val="24"/>
        </w:rPr>
        <w:t>advises and assists the Dean and associate deans in formulating policies and procedures relating to the College’s educational mission, curriculum, and teaching</w:t>
      </w:r>
      <w:r w:rsidR="00E044D2" w:rsidRPr="008A2792">
        <w:rPr>
          <w:rFonts w:cstheme="minorHAnsi"/>
          <w:sz w:val="24"/>
          <w:szCs w:val="24"/>
        </w:rPr>
        <w:t xml:space="preserve">. </w:t>
      </w:r>
      <w:r w:rsidR="0065570B" w:rsidRPr="008A2792">
        <w:rPr>
          <w:rFonts w:cstheme="minorHAnsi"/>
          <w:sz w:val="24"/>
          <w:szCs w:val="24"/>
        </w:rPr>
        <w:t xml:space="preserve">GECC </w:t>
      </w:r>
      <w:r w:rsidR="00B01241" w:rsidRPr="008A2792">
        <w:rPr>
          <w:rFonts w:cstheme="minorHAnsi"/>
          <w:sz w:val="24"/>
          <w:szCs w:val="24"/>
        </w:rPr>
        <w:t xml:space="preserve">is </w:t>
      </w:r>
      <w:r w:rsidR="0065570B" w:rsidRPr="008A2792">
        <w:rPr>
          <w:rFonts w:cstheme="minorHAnsi"/>
          <w:sz w:val="24"/>
          <w:szCs w:val="24"/>
        </w:rPr>
        <w:t xml:space="preserve">an appointed committee that </w:t>
      </w:r>
      <w:r w:rsidR="0065570B" w:rsidRPr="008A2792">
        <w:rPr>
          <w:rFonts w:cstheme="minorHAnsi"/>
          <w:sz w:val="24"/>
          <w:szCs w:val="24"/>
          <w:shd w:val="clear" w:color="auto" w:fill="FFFFFF"/>
        </w:rPr>
        <w:t>makes recommendations to UEPCC and to the Associate Dean on General Education issues, including proposals for course</w:t>
      </w:r>
      <w:r w:rsidR="00B01241" w:rsidRPr="008A2792">
        <w:rPr>
          <w:rFonts w:cstheme="minorHAnsi"/>
          <w:sz w:val="24"/>
          <w:szCs w:val="24"/>
          <w:shd w:val="clear" w:color="auto" w:fill="FFFFFF"/>
        </w:rPr>
        <w:t>s with</w:t>
      </w:r>
      <w:r w:rsidR="0065570B" w:rsidRPr="008A2792">
        <w:rPr>
          <w:rFonts w:cstheme="minorHAnsi"/>
          <w:sz w:val="24"/>
          <w:szCs w:val="24"/>
          <w:shd w:val="clear" w:color="auto" w:fill="FFFFFF"/>
        </w:rPr>
        <w:t xml:space="preserve"> GE status and GE course reviews</w:t>
      </w:r>
      <w:r w:rsidR="0011410C" w:rsidRPr="008A2792">
        <w:rPr>
          <w:rFonts w:cstheme="minorHAnsi"/>
          <w:sz w:val="24"/>
          <w:szCs w:val="24"/>
        </w:rPr>
        <w:t>.</w:t>
      </w:r>
      <w:r w:rsidR="00410339" w:rsidRPr="008A2792">
        <w:rPr>
          <w:rFonts w:cstheme="minorHAnsi"/>
          <w:sz w:val="24"/>
          <w:szCs w:val="24"/>
        </w:rPr>
        <w:t xml:space="preserve"> Together these committees review and </w:t>
      </w:r>
      <w:r w:rsidR="00410339" w:rsidRPr="008A2792">
        <w:rPr>
          <w:rFonts w:cstheme="minorHAnsi"/>
          <w:bCs/>
          <w:sz w:val="24"/>
          <w:szCs w:val="24"/>
        </w:rPr>
        <w:t xml:space="preserve">approve new proposals as well as carry out </w:t>
      </w:r>
      <w:r w:rsidR="5FDDBC1D" w:rsidRPr="008A2792">
        <w:rPr>
          <w:rFonts w:cstheme="minorHAnsi"/>
          <w:sz w:val="24"/>
          <w:szCs w:val="24"/>
        </w:rPr>
        <w:t>regular review</w:t>
      </w:r>
      <w:r w:rsidR="00E044D2" w:rsidRPr="008A2792">
        <w:rPr>
          <w:rFonts w:cstheme="minorHAnsi"/>
          <w:sz w:val="24"/>
          <w:szCs w:val="24"/>
        </w:rPr>
        <w:t xml:space="preserve"> and </w:t>
      </w:r>
      <w:r w:rsidR="5FDDBC1D" w:rsidRPr="008A2792">
        <w:rPr>
          <w:rFonts w:cstheme="minorHAnsi"/>
          <w:sz w:val="24"/>
          <w:szCs w:val="24"/>
        </w:rPr>
        <w:t>assessment of</w:t>
      </w:r>
      <w:r w:rsidR="5D663861" w:rsidRPr="008A2792">
        <w:rPr>
          <w:rFonts w:cstheme="minorHAnsi"/>
          <w:sz w:val="24"/>
          <w:szCs w:val="24"/>
        </w:rPr>
        <w:t xml:space="preserve"> </w:t>
      </w:r>
      <w:r w:rsidR="4C1D2F3A" w:rsidRPr="008A2792">
        <w:rPr>
          <w:rFonts w:cstheme="minorHAnsi"/>
          <w:sz w:val="24"/>
          <w:szCs w:val="24"/>
        </w:rPr>
        <w:t>programs, policies</w:t>
      </w:r>
      <w:r w:rsidR="00D1514B" w:rsidRPr="008A2792">
        <w:rPr>
          <w:rFonts w:cstheme="minorHAnsi"/>
          <w:sz w:val="24"/>
          <w:szCs w:val="24"/>
        </w:rPr>
        <w:t xml:space="preserve"> and</w:t>
      </w:r>
      <w:r w:rsidR="4C1D2F3A" w:rsidRPr="008A2792">
        <w:rPr>
          <w:rFonts w:cstheme="minorHAnsi"/>
          <w:sz w:val="24"/>
          <w:szCs w:val="24"/>
        </w:rPr>
        <w:t xml:space="preserve"> certificates</w:t>
      </w:r>
      <w:r w:rsidR="00410339" w:rsidRPr="008A2792">
        <w:rPr>
          <w:rFonts w:cstheme="minorHAnsi"/>
          <w:bCs/>
          <w:sz w:val="24"/>
          <w:szCs w:val="24"/>
        </w:rPr>
        <w:t xml:space="preserve">. </w:t>
      </w:r>
      <w:r w:rsidR="00484735" w:rsidRPr="008A2792">
        <w:rPr>
          <w:rFonts w:cstheme="minorHAnsi"/>
          <w:bCs/>
          <w:sz w:val="24"/>
          <w:szCs w:val="24"/>
        </w:rPr>
        <w:t xml:space="preserve">Thus, </w:t>
      </w:r>
      <w:r w:rsidR="515FE872" w:rsidRPr="008A2792">
        <w:rPr>
          <w:rFonts w:cstheme="minorHAnsi"/>
          <w:sz w:val="24"/>
          <w:szCs w:val="24"/>
        </w:rPr>
        <w:t xml:space="preserve">proposals for </w:t>
      </w:r>
      <w:r w:rsidR="00484735" w:rsidRPr="008A2792">
        <w:rPr>
          <w:rFonts w:cstheme="minorHAnsi"/>
          <w:sz w:val="24"/>
          <w:szCs w:val="24"/>
        </w:rPr>
        <w:t xml:space="preserve">new </w:t>
      </w:r>
      <w:r w:rsidR="515FE872" w:rsidRPr="008A2792">
        <w:rPr>
          <w:rFonts w:cstheme="minorHAnsi"/>
          <w:sz w:val="24"/>
          <w:szCs w:val="24"/>
        </w:rPr>
        <w:t>GE courses</w:t>
      </w:r>
      <w:r w:rsidR="00484735" w:rsidRPr="008A2792">
        <w:rPr>
          <w:rFonts w:cstheme="minorHAnsi"/>
          <w:sz w:val="24"/>
          <w:szCs w:val="24"/>
        </w:rPr>
        <w:t xml:space="preserve"> </w:t>
      </w:r>
      <w:r w:rsidR="07867887" w:rsidRPr="008A2792">
        <w:rPr>
          <w:rFonts w:cstheme="minorHAnsi"/>
          <w:sz w:val="24"/>
          <w:szCs w:val="24"/>
        </w:rPr>
        <w:t xml:space="preserve">undergo </w:t>
      </w:r>
      <w:r w:rsidR="515FE872" w:rsidRPr="008A2792">
        <w:rPr>
          <w:rFonts w:cstheme="minorHAnsi"/>
          <w:sz w:val="24"/>
          <w:szCs w:val="24"/>
        </w:rPr>
        <w:t>two approvals</w:t>
      </w:r>
      <w:r w:rsidR="07867887" w:rsidRPr="008A2792">
        <w:rPr>
          <w:rFonts w:cstheme="minorHAnsi"/>
          <w:sz w:val="24"/>
          <w:szCs w:val="24"/>
        </w:rPr>
        <w:t xml:space="preserve"> (GECC and UEPCC)</w:t>
      </w:r>
      <w:r w:rsidR="00E044D2" w:rsidRPr="008A2792">
        <w:rPr>
          <w:rFonts w:cstheme="minorHAnsi"/>
          <w:sz w:val="24"/>
          <w:szCs w:val="24"/>
        </w:rPr>
        <w:t xml:space="preserve">. </w:t>
      </w:r>
      <w:r w:rsidR="07867887" w:rsidRPr="008A2792">
        <w:rPr>
          <w:rFonts w:cstheme="minorHAnsi"/>
          <w:sz w:val="24"/>
          <w:szCs w:val="24"/>
        </w:rPr>
        <w:t xml:space="preserve">GECC also </w:t>
      </w:r>
      <w:r w:rsidR="00484735" w:rsidRPr="008A2792">
        <w:rPr>
          <w:rFonts w:cstheme="minorHAnsi"/>
          <w:sz w:val="24"/>
          <w:szCs w:val="24"/>
        </w:rPr>
        <w:t xml:space="preserve">conducts </w:t>
      </w:r>
      <w:r w:rsidR="07867887" w:rsidRPr="008A2792">
        <w:rPr>
          <w:rFonts w:cstheme="minorHAnsi"/>
          <w:sz w:val="24"/>
          <w:szCs w:val="24"/>
        </w:rPr>
        <w:t>large</w:t>
      </w:r>
      <w:r w:rsidR="5D663861" w:rsidRPr="008A2792">
        <w:rPr>
          <w:rFonts w:cstheme="minorHAnsi"/>
          <w:sz w:val="24"/>
          <w:szCs w:val="24"/>
        </w:rPr>
        <w:t>-scale oversight</w:t>
      </w:r>
      <w:r w:rsidR="00484735" w:rsidRPr="008A2792">
        <w:rPr>
          <w:rFonts w:cstheme="minorHAnsi"/>
          <w:sz w:val="24"/>
          <w:szCs w:val="24"/>
        </w:rPr>
        <w:t xml:space="preserve"> of the GE program to ensure courses meet the educational needs of students new to UI</w:t>
      </w:r>
      <w:r w:rsidR="00E044D2" w:rsidRPr="008A2792">
        <w:rPr>
          <w:rFonts w:cstheme="minorHAnsi"/>
          <w:sz w:val="24"/>
          <w:szCs w:val="24"/>
        </w:rPr>
        <w:t xml:space="preserve">. </w:t>
      </w:r>
      <w:r w:rsidR="00484735" w:rsidRPr="008A2792">
        <w:rPr>
          <w:rFonts w:cstheme="minorHAnsi"/>
          <w:sz w:val="24"/>
          <w:szCs w:val="24"/>
        </w:rPr>
        <w:t>UEPCC also oversee</w:t>
      </w:r>
      <w:r w:rsidR="001E36E4" w:rsidRPr="008A2792">
        <w:rPr>
          <w:rFonts w:cstheme="minorHAnsi"/>
          <w:sz w:val="24"/>
          <w:szCs w:val="24"/>
        </w:rPr>
        <w:t>s</w:t>
      </w:r>
      <w:r w:rsidR="00484735" w:rsidRPr="008A2792">
        <w:rPr>
          <w:rFonts w:cstheme="minorHAnsi"/>
          <w:sz w:val="24"/>
          <w:szCs w:val="24"/>
        </w:rPr>
        <w:t xml:space="preserve"> policies related to teaching such as the use of Undergraduate Teaching Assistants and information to be included on syllabi. </w:t>
      </w:r>
      <w:r w:rsidR="00C22EED" w:rsidRPr="008A2792">
        <w:rPr>
          <w:rFonts w:cstheme="minorHAnsi"/>
          <w:sz w:val="24"/>
          <w:szCs w:val="24"/>
        </w:rPr>
        <w:t xml:space="preserve">Both committees include a student representative, and they serve as a point of access for </w:t>
      </w:r>
      <w:r w:rsidR="534EEAA9" w:rsidRPr="008A2792">
        <w:rPr>
          <w:rFonts w:cstheme="minorHAnsi"/>
          <w:sz w:val="24"/>
          <w:szCs w:val="24"/>
        </w:rPr>
        <w:t>student</w:t>
      </w:r>
      <w:r w:rsidR="00C22EED" w:rsidRPr="008A2792">
        <w:rPr>
          <w:rFonts w:cstheme="minorHAnsi"/>
          <w:sz w:val="24"/>
          <w:szCs w:val="24"/>
        </w:rPr>
        <w:t xml:space="preserve"> advocates and student</w:t>
      </w:r>
      <w:r w:rsidR="534EEAA9" w:rsidRPr="008A2792">
        <w:rPr>
          <w:rFonts w:cstheme="minorHAnsi"/>
          <w:sz w:val="24"/>
          <w:szCs w:val="24"/>
        </w:rPr>
        <w:t xml:space="preserve">-led initiatives. </w:t>
      </w:r>
    </w:p>
    <w:p w14:paraId="36FBB9BF" w14:textId="77777777" w:rsidR="001E48F1" w:rsidRPr="008A2792" w:rsidRDefault="001E48F1" w:rsidP="00341E93">
      <w:pPr>
        <w:spacing w:after="0" w:line="240" w:lineRule="auto"/>
        <w:rPr>
          <w:rFonts w:cstheme="minorHAnsi"/>
          <w:sz w:val="24"/>
          <w:szCs w:val="24"/>
        </w:rPr>
      </w:pPr>
    </w:p>
    <w:p w14:paraId="2815938E" w14:textId="2797F95D" w:rsidR="00605367" w:rsidRPr="008A2792" w:rsidRDefault="3E184D06" w:rsidP="00341E93">
      <w:pPr>
        <w:spacing w:after="0" w:line="240" w:lineRule="auto"/>
        <w:rPr>
          <w:sz w:val="24"/>
          <w:szCs w:val="24"/>
        </w:rPr>
      </w:pPr>
      <w:r w:rsidRPr="008A2792">
        <w:rPr>
          <w:rFonts w:cstheme="minorHAnsi"/>
          <w:sz w:val="24"/>
          <w:szCs w:val="24"/>
        </w:rPr>
        <w:t xml:space="preserve">Recent </w:t>
      </w:r>
      <w:r w:rsidR="001E36E4" w:rsidRPr="008A2792">
        <w:rPr>
          <w:rFonts w:cstheme="minorHAnsi"/>
          <w:sz w:val="24"/>
          <w:szCs w:val="24"/>
        </w:rPr>
        <w:t xml:space="preserve">work by UEPCC </w:t>
      </w:r>
      <w:r w:rsidR="004877BA" w:rsidRPr="008A2792">
        <w:rPr>
          <w:rFonts w:cstheme="minorHAnsi"/>
          <w:bCs/>
          <w:sz w:val="24"/>
          <w:szCs w:val="24"/>
        </w:rPr>
        <w:t>include</w:t>
      </w:r>
      <w:r w:rsidR="001E36E4" w:rsidRPr="008A2792">
        <w:rPr>
          <w:rFonts w:cstheme="minorHAnsi"/>
          <w:bCs/>
          <w:sz w:val="24"/>
          <w:szCs w:val="24"/>
        </w:rPr>
        <w:t>s</w:t>
      </w:r>
      <w:r w:rsidR="00C22EED" w:rsidRPr="008A2792">
        <w:rPr>
          <w:rFonts w:cstheme="minorHAnsi"/>
          <w:bCs/>
          <w:sz w:val="24"/>
          <w:szCs w:val="24"/>
        </w:rPr>
        <w:t xml:space="preserve"> </w:t>
      </w:r>
      <w:r w:rsidR="00E044D2" w:rsidRPr="008A2792">
        <w:rPr>
          <w:rFonts w:cstheme="minorHAnsi"/>
          <w:bCs/>
          <w:sz w:val="24"/>
          <w:szCs w:val="24"/>
        </w:rPr>
        <w:t xml:space="preserve">reviews of the </w:t>
      </w:r>
      <w:r w:rsidR="5D62CB34" w:rsidRPr="008A2792">
        <w:rPr>
          <w:rFonts w:cstheme="minorHAnsi"/>
          <w:sz w:val="24"/>
          <w:szCs w:val="24"/>
        </w:rPr>
        <w:t>Event Planning Certificate</w:t>
      </w:r>
      <w:r w:rsidRPr="008A2792">
        <w:rPr>
          <w:rFonts w:cstheme="minorHAnsi"/>
          <w:sz w:val="24"/>
          <w:szCs w:val="24"/>
        </w:rPr>
        <w:t xml:space="preserve">, </w:t>
      </w:r>
      <w:r w:rsidR="00E044D2" w:rsidRPr="008A2792">
        <w:rPr>
          <w:rFonts w:cstheme="minorHAnsi"/>
          <w:sz w:val="24"/>
          <w:szCs w:val="24"/>
        </w:rPr>
        <w:t>the</w:t>
      </w:r>
      <w:r w:rsidR="00C22EED" w:rsidRPr="008A2792">
        <w:rPr>
          <w:rFonts w:cstheme="minorHAnsi"/>
          <w:sz w:val="24"/>
          <w:szCs w:val="24"/>
        </w:rPr>
        <w:t xml:space="preserve"> </w:t>
      </w:r>
      <w:r w:rsidR="001E36E4" w:rsidRPr="008A2792">
        <w:rPr>
          <w:rFonts w:cstheme="minorHAnsi"/>
          <w:sz w:val="24"/>
          <w:szCs w:val="24"/>
        </w:rPr>
        <w:t xml:space="preserve">Geographic Information Science </w:t>
      </w:r>
      <w:r w:rsidRPr="008A2792">
        <w:rPr>
          <w:rFonts w:cstheme="minorHAnsi"/>
          <w:sz w:val="24"/>
          <w:szCs w:val="24"/>
        </w:rPr>
        <w:t xml:space="preserve">Certificate, </w:t>
      </w:r>
      <w:r w:rsidR="00C22EED" w:rsidRPr="008A2792">
        <w:rPr>
          <w:rFonts w:cstheme="minorHAnsi"/>
          <w:sz w:val="24"/>
          <w:szCs w:val="24"/>
        </w:rPr>
        <w:t xml:space="preserve">and </w:t>
      </w:r>
      <w:r w:rsidR="00E044D2" w:rsidRPr="008A2792">
        <w:rPr>
          <w:rFonts w:cstheme="minorHAnsi"/>
          <w:sz w:val="24"/>
          <w:szCs w:val="24"/>
        </w:rPr>
        <w:t xml:space="preserve">the </w:t>
      </w:r>
      <w:r w:rsidRPr="008A2792">
        <w:rPr>
          <w:rFonts w:cstheme="minorHAnsi"/>
          <w:sz w:val="24"/>
          <w:szCs w:val="24"/>
        </w:rPr>
        <w:t>Digital Arts Certificate</w:t>
      </w:r>
      <w:r w:rsidR="00C22EED" w:rsidRPr="008A2792">
        <w:rPr>
          <w:rFonts w:cstheme="minorHAnsi"/>
          <w:sz w:val="24"/>
          <w:szCs w:val="24"/>
        </w:rPr>
        <w:t>; in all cases feedback provided by UEPCC led to improvements in these new certificates.</w:t>
      </w:r>
      <w:r w:rsidR="001E36E4" w:rsidRPr="008A2792">
        <w:rPr>
          <w:rFonts w:cstheme="minorHAnsi"/>
          <w:sz w:val="24"/>
          <w:szCs w:val="24"/>
        </w:rPr>
        <w:t xml:space="preserve"> </w:t>
      </w:r>
      <w:r w:rsidR="001E48F1" w:rsidRPr="008A2792">
        <w:rPr>
          <w:rFonts w:cstheme="minorHAnsi"/>
          <w:sz w:val="24"/>
          <w:szCs w:val="24"/>
        </w:rPr>
        <w:t xml:space="preserve">A </w:t>
      </w:r>
      <w:r w:rsidR="0058EDFA" w:rsidRPr="008A2792">
        <w:rPr>
          <w:sz w:val="24"/>
          <w:szCs w:val="24"/>
        </w:rPr>
        <w:t xml:space="preserve">major accomplishment of the CLAS GE Program </w:t>
      </w:r>
      <w:r w:rsidR="001E48F1" w:rsidRPr="008A2792">
        <w:rPr>
          <w:sz w:val="24"/>
          <w:szCs w:val="24"/>
        </w:rPr>
        <w:t xml:space="preserve">in the last few years </w:t>
      </w:r>
      <w:r w:rsidR="0058EDFA" w:rsidRPr="008A2792">
        <w:rPr>
          <w:sz w:val="24"/>
          <w:szCs w:val="24"/>
        </w:rPr>
        <w:t>has been to add a require</w:t>
      </w:r>
      <w:r w:rsidR="6C499993" w:rsidRPr="008A2792">
        <w:rPr>
          <w:sz w:val="24"/>
          <w:szCs w:val="24"/>
        </w:rPr>
        <w:t>ment in the area of Diversity and Inclusion</w:t>
      </w:r>
      <w:r w:rsidR="151B3731" w:rsidRPr="008A2792">
        <w:rPr>
          <w:sz w:val="24"/>
          <w:szCs w:val="24"/>
        </w:rPr>
        <w:t xml:space="preserve"> (DI)</w:t>
      </w:r>
      <w:r w:rsidR="79E647DE" w:rsidRPr="008A2792">
        <w:rPr>
          <w:sz w:val="24"/>
          <w:szCs w:val="24"/>
        </w:rPr>
        <w:t>.</w:t>
      </w:r>
      <w:r w:rsidR="6C499993" w:rsidRPr="008A2792">
        <w:rPr>
          <w:sz w:val="24"/>
          <w:szCs w:val="24"/>
        </w:rPr>
        <w:t xml:space="preserve"> </w:t>
      </w:r>
      <w:r w:rsidR="00C22EED" w:rsidRPr="008A2792">
        <w:rPr>
          <w:sz w:val="24"/>
          <w:szCs w:val="24"/>
        </w:rPr>
        <w:t xml:space="preserve">This change was </w:t>
      </w:r>
      <w:r w:rsidR="0AF921DE" w:rsidRPr="008A2792">
        <w:rPr>
          <w:sz w:val="24"/>
          <w:szCs w:val="24"/>
        </w:rPr>
        <w:t>motivated by</w:t>
      </w:r>
      <w:r w:rsidR="6C287A13" w:rsidRPr="008A2792">
        <w:rPr>
          <w:sz w:val="24"/>
          <w:szCs w:val="24"/>
        </w:rPr>
        <w:t xml:space="preserve"> a</w:t>
      </w:r>
      <w:r w:rsidR="0AF921DE" w:rsidRPr="008A2792">
        <w:rPr>
          <w:sz w:val="24"/>
          <w:szCs w:val="24"/>
        </w:rPr>
        <w:t xml:space="preserve"> request from undergraduates to have more</w:t>
      </w:r>
      <w:r w:rsidR="79E647DE" w:rsidRPr="008A2792">
        <w:rPr>
          <w:sz w:val="24"/>
          <w:szCs w:val="24"/>
        </w:rPr>
        <w:t xml:space="preserve"> </w:t>
      </w:r>
      <w:r w:rsidR="0AF921DE" w:rsidRPr="008A2792">
        <w:rPr>
          <w:sz w:val="24"/>
          <w:szCs w:val="24"/>
        </w:rPr>
        <w:t xml:space="preserve">opportunities in the classroom </w:t>
      </w:r>
      <w:r w:rsidR="1FF7B048" w:rsidRPr="008A2792">
        <w:rPr>
          <w:sz w:val="24"/>
          <w:szCs w:val="24"/>
        </w:rPr>
        <w:t xml:space="preserve">to reflect critically on their </w:t>
      </w:r>
      <w:r w:rsidR="001E48F1" w:rsidRPr="008A2792">
        <w:rPr>
          <w:sz w:val="24"/>
          <w:szCs w:val="24"/>
        </w:rPr>
        <w:t>own social and cultural perspectives</w:t>
      </w:r>
      <w:r w:rsidR="1FF7B048" w:rsidRPr="008A2792">
        <w:rPr>
          <w:sz w:val="24"/>
          <w:szCs w:val="24"/>
        </w:rPr>
        <w:t xml:space="preserve"> and to i</w:t>
      </w:r>
      <w:r w:rsidR="001E48F1" w:rsidRPr="008A2792">
        <w:rPr>
          <w:sz w:val="24"/>
          <w:szCs w:val="24"/>
        </w:rPr>
        <w:t>ncrease</w:t>
      </w:r>
      <w:r w:rsidR="1FF7B048" w:rsidRPr="008A2792">
        <w:rPr>
          <w:sz w:val="24"/>
          <w:szCs w:val="24"/>
        </w:rPr>
        <w:t xml:space="preserve"> their ability to engage with those who have backgrounds different </w:t>
      </w:r>
      <w:r w:rsidR="00D624AB" w:rsidRPr="008A2792">
        <w:rPr>
          <w:sz w:val="24"/>
          <w:szCs w:val="24"/>
        </w:rPr>
        <w:t>from</w:t>
      </w:r>
      <w:r w:rsidR="1FF7B048" w:rsidRPr="008A2792">
        <w:rPr>
          <w:sz w:val="24"/>
          <w:szCs w:val="24"/>
        </w:rPr>
        <w:t xml:space="preserve"> their ow</w:t>
      </w:r>
      <w:r w:rsidR="51DEC39E" w:rsidRPr="008A2792">
        <w:rPr>
          <w:sz w:val="24"/>
          <w:szCs w:val="24"/>
        </w:rPr>
        <w:t xml:space="preserve">n. </w:t>
      </w:r>
      <w:r w:rsidR="00C22EED" w:rsidRPr="008A2792">
        <w:rPr>
          <w:sz w:val="24"/>
          <w:szCs w:val="24"/>
        </w:rPr>
        <w:t xml:space="preserve">The process took several years, with input </w:t>
      </w:r>
      <w:r w:rsidR="001E48F1" w:rsidRPr="008A2792">
        <w:rPr>
          <w:sz w:val="24"/>
          <w:szCs w:val="24"/>
        </w:rPr>
        <w:t xml:space="preserve">from </w:t>
      </w:r>
      <w:r w:rsidR="00C22EED" w:rsidRPr="008A2792">
        <w:rPr>
          <w:sz w:val="24"/>
          <w:szCs w:val="24"/>
        </w:rPr>
        <w:t xml:space="preserve">many faculty and students. </w:t>
      </w:r>
      <w:r w:rsidR="51DEC39E" w:rsidRPr="008A2792">
        <w:rPr>
          <w:sz w:val="24"/>
          <w:szCs w:val="24"/>
        </w:rPr>
        <w:t xml:space="preserve">Examples of </w:t>
      </w:r>
      <w:r w:rsidR="6C287A13" w:rsidRPr="008A2792">
        <w:rPr>
          <w:sz w:val="24"/>
          <w:szCs w:val="24"/>
        </w:rPr>
        <w:t xml:space="preserve">recently </w:t>
      </w:r>
      <w:r w:rsidR="7A1BFC34" w:rsidRPr="008A2792">
        <w:rPr>
          <w:sz w:val="24"/>
          <w:szCs w:val="24"/>
        </w:rPr>
        <w:t xml:space="preserve">approved DI courses </w:t>
      </w:r>
      <w:r w:rsidR="001E48F1" w:rsidRPr="008A2792">
        <w:rPr>
          <w:sz w:val="24"/>
          <w:szCs w:val="24"/>
        </w:rPr>
        <w:t>are wide-ranging and mirror the rich academic diversity within CLAS</w:t>
      </w:r>
      <w:r w:rsidR="7A1BFC34" w:rsidRPr="008A2792">
        <w:rPr>
          <w:sz w:val="24"/>
          <w:szCs w:val="24"/>
        </w:rPr>
        <w:t xml:space="preserve">: </w:t>
      </w:r>
      <w:r w:rsidR="6AE20D12" w:rsidRPr="008A2792">
        <w:rPr>
          <w:i/>
          <w:sz w:val="24"/>
          <w:szCs w:val="24"/>
        </w:rPr>
        <w:t>D</w:t>
      </w:r>
      <w:r w:rsidR="6F16DABE" w:rsidRPr="008A2792">
        <w:rPr>
          <w:i/>
          <w:sz w:val="24"/>
          <w:szCs w:val="24"/>
        </w:rPr>
        <w:t>iversity in American Culture</w:t>
      </w:r>
      <w:r w:rsidR="6F16DABE" w:rsidRPr="008A2792">
        <w:rPr>
          <w:sz w:val="24"/>
          <w:szCs w:val="24"/>
        </w:rPr>
        <w:t xml:space="preserve">, </w:t>
      </w:r>
      <w:r w:rsidR="12BD2A4E" w:rsidRPr="008A2792">
        <w:rPr>
          <w:i/>
          <w:sz w:val="24"/>
          <w:szCs w:val="24"/>
        </w:rPr>
        <w:t xml:space="preserve">Race, Gender and Sexuality </w:t>
      </w:r>
      <w:r w:rsidR="7E3FFA2B" w:rsidRPr="008A2792">
        <w:rPr>
          <w:i/>
          <w:sz w:val="24"/>
          <w:szCs w:val="24"/>
        </w:rPr>
        <w:t>on Screen</w:t>
      </w:r>
      <w:r w:rsidR="6F16DABE" w:rsidRPr="008A2792">
        <w:rPr>
          <w:sz w:val="24"/>
          <w:szCs w:val="24"/>
        </w:rPr>
        <w:t xml:space="preserve">, </w:t>
      </w:r>
      <w:r w:rsidR="12FE0888" w:rsidRPr="008A2792">
        <w:rPr>
          <w:i/>
          <w:sz w:val="24"/>
          <w:szCs w:val="24"/>
        </w:rPr>
        <w:t>Inequality in American Sport</w:t>
      </w:r>
      <w:r w:rsidR="445ECBE3" w:rsidRPr="008A2792">
        <w:rPr>
          <w:sz w:val="24"/>
          <w:szCs w:val="24"/>
        </w:rPr>
        <w:t xml:space="preserve">, </w:t>
      </w:r>
      <w:r w:rsidR="001E36E4" w:rsidRPr="008A2792">
        <w:rPr>
          <w:i/>
          <w:sz w:val="24"/>
          <w:szCs w:val="24"/>
        </w:rPr>
        <w:t>Understanding Video Games</w:t>
      </w:r>
      <w:r w:rsidR="001E36E4" w:rsidRPr="008A2792">
        <w:rPr>
          <w:sz w:val="24"/>
          <w:szCs w:val="24"/>
        </w:rPr>
        <w:t xml:space="preserve">, </w:t>
      </w:r>
      <w:r w:rsidR="001E36E4" w:rsidRPr="008A2792">
        <w:rPr>
          <w:i/>
          <w:sz w:val="24"/>
          <w:szCs w:val="24"/>
        </w:rPr>
        <w:t>Romany (Gypsy) Cultures of Eastern Europe</w:t>
      </w:r>
      <w:r w:rsidR="001E36E4" w:rsidRPr="008A2792">
        <w:rPr>
          <w:sz w:val="24"/>
          <w:szCs w:val="24"/>
        </w:rPr>
        <w:t xml:space="preserve"> </w:t>
      </w:r>
      <w:r w:rsidR="445ECBE3" w:rsidRPr="008A2792">
        <w:rPr>
          <w:sz w:val="24"/>
          <w:szCs w:val="24"/>
        </w:rPr>
        <w:t xml:space="preserve">and </w:t>
      </w:r>
      <w:r w:rsidR="7065D338" w:rsidRPr="008A2792">
        <w:rPr>
          <w:i/>
          <w:sz w:val="24"/>
          <w:szCs w:val="24"/>
        </w:rPr>
        <w:t>Printmaking and the Politics of Protest and Representation</w:t>
      </w:r>
      <w:r w:rsidR="7065D338" w:rsidRPr="008A2792">
        <w:rPr>
          <w:sz w:val="24"/>
          <w:szCs w:val="24"/>
        </w:rPr>
        <w:t>.</w:t>
      </w:r>
      <w:r w:rsidR="00C22EED" w:rsidRPr="008A2792">
        <w:rPr>
          <w:sz w:val="24"/>
          <w:szCs w:val="24"/>
        </w:rPr>
        <w:t xml:space="preserve"> </w:t>
      </w:r>
      <w:r w:rsidR="001E48F1" w:rsidRPr="008A2792">
        <w:rPr>
          <w:sz w:val="24"/>
          <w:szCs w:val="24"/>
        </w:rPr>
        <w:t>The GE Diversity and Inclusion outcomes allow CLAS undergraduates to be at the forefront of a 21</w:t>
      </w:r>
      <w:r w:rsidR="001E48F1" w:rsidRPr="008A2792">
        <w:rPr>
          <w:sz w:val="24"/>
          <w:szCs w:val="24"/>
          <w:vertAlign w:val="superscript"/>
        </w:rPr>
        <w:t>st</w:t>
      </w:r>
      <w:r w:rsidR="001E48F1" w:rsidRPr="008A2792">
        <w:rPr>
          <w:sz w:val="24"/>
          <w:szCs w:val="24"/>
        </w:rPr>
        <w:t xml:space="preserve"> century liberal arts education.</w:t>
      </w:r>
    </w:p>
    <w:p w14:paraId="6CE32DE4" w14:textId="77777777" w:rsidR="00341E93" w:rsidRDefault="00341E93" w:rsidP="00341E93">
      <w:pPr>
        <w:spacing w:after="0" w:line="240" w:lineRule="auto"/>
        <w:rPr>
          <w:sz w:val="24"/>
          <w:szCs w:val="24"/>
        </w:rPr>
      </w:pPr>
    </w:p>
    <w:p w14:paraId="202E9A26" w14:textId="77777777" w:rsidR="008A2792" w:rsidRDefault="008A2792" w:rsidP="00341E93">
      <w:pPr>
        <w:spacing w:after="0" w:line="240" w:lineRule="auto"/>
        <w:rPr>
          <w:sz w:val="24"/>
          <w:szCs w:val="24"/>
        </w:rPr>
      </w:pPr>
    </w:p>
    <w:p w14:paraId="36DC624C" w14:textId="77777777" w:rsidR="008A2792" w:rsidRDefault="008A2792" w:rsidP="00341E93">
      <w:pPr>
        <w:spacing w:after="0" w:line="240" w:lineRule="auto"/>
        <w:rPr>
          <w:sz w:val="24"/>
          <w:szCs w:val="24"/>
        </w:rPr>
      </w:pPr>
    </w:p>
    <w:p w14:paraId="3FB3C3D1" w14:textId="77777777" w:rsidR="008A2792" w:rsidRDefault="008A2792" w:rsidP="00341E93">
      <w:pPr>
        <w:spacing w:after="0" w:line="240" w:lineRule="auto"/>
        <w:rPr>
          <w:sz w:val="24"/>
          <w:szCs w:val="24"/>
        </w:rPr>
      </w:pPr>
    </w:p>
    <w:p w14:paraId="6E6C0A54" w14:textId="77777777" w:rsidR="008A2792" w:rsidRDefault="008A2792" w:rsidP="00341E93">
      <w:pPr>
        <w:spacing w:after="0" w:line="240" w:lineRule="auto"/>
        <w:rPr>
          <w:sz w:val="24"/>
          <w:szCs w:val="24"/>
        </w:rPr>
      </w:pPr>
    </w:p>
    <w:p w14:paraId="41D53DD0" w14:textId="77777777" w:rsidR="008A2792" w:rsidRDefault="008A2792" w:rsidP="00341E93">
      <w:pPr>
        <w:spacing w:after="0" w:line="240" w:lineRule="auto"/>
        <w:rPr>
          <w:sz w:val="24"/>
          <w:szCs w:val="24"/>
        </w:rPr>
      </w:pPr>
    </w:p>
    <w:p w14:paraId="1CC50EB1" w14:textId="5F7DE846" w:rsidR="46B5A274" w:rsidRPr="008A2792" w:rsidRDefault="46B5A274" w:rsidP="00341E93">
      <w:pPr>
        <w:spacing w:after="0" w:line="240" w:lineRule="auto"/>
        <w:rPr>
          <w:b/>
          <w:bCs/>
          <w:sz w:val="24"/>
          <w:szCs w:val="24"/>
        </w:rPr>
      </w:pPr>
      <w:r w:rsidRPr="008A2792">
        <w:rPr>
          <w:b/>
          <w:bCs/>
          <w:sz w:val="24"/>
          <w:szCs w:val="24"/>
        </w:rPr>
        <w:lastRenderedPageBreak/>
        <w:t>Future Vision</w:t>
      </w:r>
      <w:r w:rsidR="35731B81" w:rsidRPr="008A2792">
        <w:rPr>
          <w:b/>
          <w:bCs/>
          <w:sz w:val="24"/>
          <w:szCs w:val="24"/>
        </w:rPr>
        <w:t xml:space="preserve">: A Culture of </w:t>
      </w:r>
      <w:r w:rsidR="1F7FEAAB" w:rsidRPr="008A2792">
        <w:rPr>
          <w:b/>
          <w:bCs/>
          <w:sz w:val="24"/>
          <w:szCs w:val="24"/>
        </w:rPr>
        <w:t>Teaching-Scholarship in CLAS</w:t>
      </w:r>
    </w:p>
    <w:p w14:paraId="61132EDA" w14:textId="77777777" w:rsidR="00341E93" w:rsidRPr="008A2792" w:rsidRDefault="00341E93" w:rsidP="00341E93">
      <w:pPr>
        <w:spacing w:after="0" w:line="240" w:lineRule="auto"/>
        <w:rPr>
          <w:b/>
          <w:bCs/>
          <w:sz w:val="24"/>
          <w:szCs w:val="24"/>
          <w:u w:val="single"/>
        </w:rPr>
      </w:pPr>
    </w:p>
    <w:p w14:paraId="3A26C93E" w14:textId="1D068FF0" w:rsidR="001545BF" w:rsidRPr="008A2792" w:rsidRDefault="001545BF" w:rsidP="00341E93">
      <w:pPr>
        <w:pStyle w:val="ListParagraph"/>
        <w:numPr>
          <w:ilvl w:val="0"/>
          <w:numId w:val="5"/>
        </w:numPr>
        <w:spacing w:after="0" w:line="240" w:lineRule="auto"/>
        <w:ind w:left="360"/>
        <w:rPr>
          <w:b/>
          <w:bCs/>
          <w:sz w:val="24"/>
          <w:szCs w:val="24"/>
        </w:rPr>
      </w:pPr>
      <w:r w:rsidRPr="008A2792">
        <w:rPr>
          <w:b/>
          <w:bCs/>
          <w:sz w:val="24"/>
          <w:szCs w:val="24"/>
        </w:rPr>
        <w:t>Building Community – CLAS Student Center</w:t>
      </w:r>
      <w:r w:rsidR="00AE2C74" w:rsidRPr="008A2792">
        <w:rPr>
          <w:rStyle w:val="FootnoteReference"/>
          <w:b/>
          <w:bCs/>
          <w:sz w:val="24"/>
          <w:szCs w:val="24"/>
        </w:rPr>
        <w:footnoteReference w:id="1"/>
      </w:r>
    </w:p>
    <w:p w14:paraId="4741D73A" w14:textId="7A8DAE35" w:rsidR="00460BB7" w:rsidRPr="008A2792" w:rsidRDefault="00A27FCB" w:rsidP="00341E93">
      <w:pPr>
        <w:pStyle w:val="CommentText"/>
        <w:spacing w:after="0"/>
        <w:rPr>
          <w:sz w:val="24"/>
          <w:szCs w:val="24"/>
        </w:rPr>
      </w:pPr>
      <w:r w:rsidRPr="008A2792">
        <w:rPr>
          <w:sz w:val="24"/>
          <w:szCs w:val="24"/>
        </w:rPr>
        <w:t>We envision a CLAS Student Center focused on student learning and inclusive</w:t>
      </w:r>
      <w:r w:rsidR="008A2792">
        <w:rPr>
          <w:sz w:val="24"/>
          <w:szCs w:val="24"/>
        </w:rPr>
        <w:t>ness</w:t>
      </w:r>
      <w:r w:rsidR="00A94A5F" w:rsidRPr="008A2792">
        <w:rPr>
          <w:sz w:val="24"/>
          <w:szCs w:val="24"/>
        </w:rPr>
        <w:t xml:space="preserve">. We think EPB would be an ideal site for this Center for </w:t>
      </w:r>
      <w:r w:rsidR="008A2792">
        <w:rPr>
          <w:sz w:val="24"/>
          <w:szCs w:val="24"/>
        </w:rPr>
        <w:t>two r</w:t>
      </w:r>
      <w:r w:rsidR="00A94A5F" w:rsidRPr="008A2792">
        <w:rPr>
          <w:sz w:val="24"/>
          <w:szCs w:val="24"/>
        </w:rPr>
        <w:t xml:space="preserve">easons. First, </w:t>
      </w:r>
      <w:r w:rsidRPr="008A2792">
        <w:rPr>
          <w:sz w:val="24"/>
          <w:szCs w:val="24"/>
        </w:rPr>
        <w:t xml:space="preserve">every first year student takes Rhetoric and Interpretation of Literature, and </w:t>
      </w:r>
      <w:r w:rsidR="00A94A5F" w:rsidRPr="008A2792">
        <w:rPr>
          <w:sz w:val="24"/>
          <w:szCs w:val="24"/>
        </w:rPr>
        <w:t xml:space="preserve">thus </w:t>
      </w:r>
      <w:r w:rsidRPr="008A2792">
        <w:rPr>
          <w:sz w:val="24"/>
          <w:szCs w:val="24"/>
        </w:rPr>
        <w:t>spends several hours per week in EPB</w:t>
      </w:r>
      <w:r w:rsidR="00A94A5F" w:rsidRPr="008A2792">
        <w:rPr>
          <w:rStyle w:val="FootnoteReference"/>
          <w:sz w:val="24"/>
          <w:szCs w:val="24"/>
        </w:rPr>
        <w:footnoteReference w:id="2"/>
      </w:r>
      <w:r w:rsidR="00A94A5F" w:rsidRPr="008A2792">
        <w:rPr>
          <w:sz w:val="24"/>
          <w:szCs w:val="24"/>
        </w:rPr>
        <w:t>. Second, t</w:t>
      </w:r>
      <w:r w:rsidRPr="008A2792">
        <w:rPr>
          <w:sz w:val="24"/>
          <w:szCs w:val="24"/>
        </w:rPr>
        <w:t>h</w:t>
      </w:r>
      <w:r w:rsidR="00A94A5F" w:rsidRPr="008A2792">
        <w:rPr>
          <w:sz w:val="24"/>
          <w:szCs w:val="24"/>
        </w:rPr>
        <w:t>e 1</w:t>
      </w:r>
      <w:r w:rsidR="00A94A5F" w:rsidRPr="008A2792">
        <w:rPr>
          <w:sz w:val="24"/>
          <w:szCs w:val="24"/>
          <w:vertAlign w:val="superscript"/>
        </w:rPr>
        <w:t>st</w:t>
      </w:r>
      <w:r w:rsidR="00A94A5F" w:rsidRPr="008A2792">
        <w:rPr>
          <w:sz w:val="24"/>
          <w:szCs w:val="24"/>
        </w:rPr>
        <w:t xml:space="preserve"> floor of EPB houses</w:t>
      </w:r>
      <w:r w:rsidRPr="008A2792">
        <w:rPr>
          <w:sz w:val="24"/>
          <w:szCs w:val="24"/>
        </w:rPr>
        <w:t xml:space="preserve"> the Writing Center </w:t>
      </w:r>
      <w:r w:rsidR="00A94A5F" w:rsidRPr="008A2792">
        <w:rPr>
          <w:sz w:val="24"/>
          <w:szCs w:val="24"/>
        </w:rPr>
        <w:t xml:space="preserve">(rooms 110-112) </w:t>
      </w:r>
      <w:r w:rsidRPr="008A2792">
        <w:rPr>
          <w:sz w:val="24"/>
          <w:szCs w:val="24"/>
        </w:rPr>
        <w:t>and IDEAL</w:t>
      </w:r>
      <w:r w:rsidR="00A94A5F" w:rsidRPr="008A2792">
        <w:rPr>
          <w:sz w:val="24"/>
          <w:szCs w:val="24"/>
        </w:rPr>
        <w:t xml:space="preserve"> (room 108)</w:t>
      </w:r>
      <w:r w:rsidRPr="008A2792">
        <w:rPr>
          <w:sz w:val="24"/>
          <w:szCs w:val="24"/>
        </w:rPr>
        <w:t>, a multimodal resource and printing station for students</w:t>
      </w:r>
      <w:r w:rsidR="00A94A5F" w:rsidRPr="008A2792">
        <w:rPr>
          <w:sz w:val="24"/>
          <w:szCs w:val="24"/>
        </w:rPr>
        <w:t xml:space="preserve">; </w:t>
      </w:r>
      <w:r w:rsidRPr="008A2792">
        <w:rPr>
          <w:sz w:val="24"/>
          <w:szCs w:val="24"/>
        </w:rPr>
        <w:t xml:space="preserve">the Speaking Center is also </w:t>
      </w:r>
      <w:r w:rsidR="00A94A5F" w:rsidRPr="008A2792">
        <w:rPr>
          <w:sz w:val="24"/>
          <w:szCs w:val="24"/>
        </w:rPr>
        <w:t xml:space="preserve">located </w:t>
      </w:r>
      <w:r w:rsidRPr="008A2792">
        <w:rPr>
          <w:sz w:val="24"/>
          <w:szCs w:val="24"/>
        </w:rPr>
        <w:t>in EPB (4</w:t>
      </w:r>
      <w:r w:rsidRPr="008A2792">
        <w:rPr>
          <w:sz w:val="24"/>
          <w:szCs w:val="24"/>
          <w:vertAlign w:val="superscript"/>
        </w:rPr>
        <w:t>th</w:t>
      </w:r>
      <w:r w:rsidRPr="008A2792">
        <w:rPr>
          <w:sz w:val="24"/>
          <w:szCs w:val="24"/>
        </w:rPr>
        <w:t xml:space="preserve"> Floor) and the Conversation Center is nomadic but based in EPB</w:t>
      </w:r>
      <w:r w:rsidR="00E044D2" w:rsidRPr="008A2792">
        <w:rPr>
          <w:sz w:val="24"/>
          <w:szCs w:val="24"/>
        </w:rPr>
        <w:t xml:space="preserve">. </w:t>
      </w:r>
      <w:r w:rsidR="00282060" w:rsidRPr="008A2792">
        <w:rPr>
          <w:sz w:val="24"/>
          <w:szCs w:val="24"/>
        </w:rPr>
        <w:t xml:space="preserve">We think </w:t>
      </w:r>
      <w:r w:rsidRPr="008A2792">
        <w:rPr>
          <w:sz w:val="24"/>
          <w:szCs w:val="24"/>
        </w:rPr>
        <w:t xml:space="preserve">it would be </w:t>
      </w:r>
      <w:r w:rsidR="00282060" w:rsidRPr="008A2792">
        <w:rPr>
          <w:sz w:val="24"/>
          <w:szCs w:val="24"/>
        </w:rPr>
        <w:t>feasible</w:t>
      </w:r>
      <w:r w:rsidRPr="008A2792">
        <w:rPr>
          <w:sz w:val="24"/>
          <w:szCs w:val="24"/>
        </w:rPr>
        <w:t xml:space="preserve"> to make the first floor of E</w:t>
      </w:r>
      <w:r w:rsidR="00A94A5F" w:rsidRPr="008A2792">
        <w:rPr>
          <w:sz w:val="24"/>
          <w:szCs w:val="24"/>
        </w:rPr>
        <w:t>P</w:t>
      </w:r>
      <w:r w:rsidRPr="008A2792">
        <w:rPr>
          <w:sz w:val="24"/>
          <w:szCs w:val="24"/>
        </w:rPr>
        <w:t>B into a Resource Corridor or a CL</w:t>
      </w:r>
      <w:r w:rsidR="00282060" w:rsidRPr="008A2792">
        <w:rPr>
          <w:sz w:val="24"/>
          <w:szCs w:val="24"/>
        </w:rPr>
        <w:t>AS Student Center, one that is</w:t>
      </w:r>
      <w:r w:rsidRPr="008A2792">
        <w:rPr>
          <w:sz w:val="24"/>
          <w:szCs w:val="24"/>
        </w:rPr>
        <w:t xml:space="preserve"> convenient for students</w:t>
      </w:r>
      <w:r w:rsidR="00282060" w:rsidRPr="008A2792">
        <w:rPr>
          <w:sz w:val="24"/>
          <w:szCs w:val="24"/>
        </w:rPr>
        <w:t xml:space="preserve"> and is</w:t>
      </w:r>
      <w:r w:rsidRPr="008A2792">
        <w:rPr>
          <w:sz w:val="24"/>
          <w:szCs w:val="24"/>
        </w:rPr>
        <w:t xml:space="preserve"> already </w:t>
      </w:r>
      <w:r w:rsidR="008A2792">
        <w:rPr>
          <w:sz w:val="24"/>
          <w:szCs w:val="24"/>
        </w:rPr>
        <w:t xml:space="preserve">on the daily itinerary for </w:t>
      </w:r>
      <w:r w:rsidRPr="008A2792">
        <w:rPr>
          <w:sz w:val="24"/>
          <w:szCs w:val="24"/>
        </w:rPr>
        <w:t>most first years</w:t>
      </w:r>
      <w:r w:rsidR="008A2792">
        <w:rPr>
          <w:sz w:val="24"/>
          <w:szCs w:val="24"/>
        </w:rPr>
        <w:t xml:space="preserve"> students</w:t>
      </w:r>
      <w:r w:rsidR="00E044D2" w:rsidRPr="008A2792">
        <w:rPr>
          <w:sz w:val="24"/>
          <w:szCs w:val="24"/>
        </w:rPr>
        <w:t>.</w:t>
      </w:r>
      <w:r w:rsidRPr="008A2792">
        <w:rPr>
          <w:sz w:val="24"/>
          <w:szCs w:val="24"/>
        </w:rPr>
        <w:t xml:space="preserve"> The classrooms in 10</w:t>
      </w:r>
      <w:r w:rsidR="00A94A5F" w:rsidRPr="008A2792">
        <w:rPr>
          <w:sz w:val="24"/>
          <w:szCs w:val="24"/>
        </w:rPr>
        <w:t>2</w:t>
      </w:r>
      <w:r w:rsidRPr="008A2792">
        <w:rPr>
          <w:sz w:val="24"/>
          <w:szCs w:val="24"/>
        </w:rPr>
        <w:t>, 104 and 10</w:t>
      </w:r>
      <w:r w:rsidR="00A94A5F" w:rsidRPr="008A2792">
        <w:rPr>
          <w:sz w:val="24"/>
          <w:szCs w:val="24"/>
        </w:rPr>
        <w:t>6</w:t>
      </w:r>
      <w:r w:rsidRPr="008A2792">
        <w:rPr>
          <w:sz w:val="24"/>
          <w:szCs w:val="24"/>
        </w:rPr>
        <w:t xml:space="preserve"> would be excellent </w:t>
      </w:r>
      <w:r w:rsidR="00A94A5F" w:rsidRPr="008A2792">
        <w:rPr>
          <w:sz w:val="24"/>
          <w:szCs w:val="24"/>
        </w:rPr>
        <w:t xml:space="preserve">sites </w:t>
      </w:r>
      <w:r w:rsidRPr="008A2792">
        <w:rPr>
          <w:sz w:val="24"/>
          <w:szCs w:val="24"/>
        </w:rPr>
        <w:t xml:space="preserve">for the Speaking Center, the Conversation Center and a social space, making the whole corridor a center for student resources. A satellite of this Student Center could be housed in Phillips Hall where students also take their required courses </w:t>
      </w:r>
      <w:r w:rsidR="00A94A5F" w:rsidRPr="008A2792">
        <w:rPr>
          <w:sz w:val="24"/>
          <w:szCs w:val="24"/>
        </w:rPr>
        <w:t>in</w:t>
      </w:r>
      <w:r w:rsidRPr="008A2792">
        <w:rPr>
          <w:sz w:val="24"/>
          <w:szCs w:val="24"/>
        </w:rPr>
        <w:t xml:space="preserve"> Languages. </w:t>
      </w:r>
      <w:r w:rsidR="00460BB7" w:rsidRPr="008A2792">
        <w:rPr>
          <w:sz w:val="24"/>
          <w:szCs w:val="24"/>
        </w:rPr>
        <w:t xml:space="preserve">Another possibility would be </w:t>
      </w:r>
      <w:r w:rsidR="00282060" w:rsidRPr="008A2792">
        <w:rPr>
          <w:sz w:val="24"/>
          <w:szCs w:val="24"/>
        </w:rPr>
        <w:t xml:space="preserve">to include a Teaching-Learning </w:t>
      </w:r>
      <w:r w:rsidR="00D202F8" w:rsidRPr="008A2792">
        <w:rPr>
          <w:sz w:val="24"/>
          <w:szCs w:val="24"/>
        </w:rPr>
        <w:t xml:space="preserve">Center </w:t>
      </w:r>
      <w:r w:rsidR="00460BB7" w:rsidRPr="008A2792">
        <w:rPr>
          <w:sz w:val="24"/>
          <w:szCs w:val="24"/>
        </w:rPr>
        <w:t xml:space="preserve">where CLAS faculty and graduate students might hold office hours, have CLAS faculty learning communities, and </w:t>
      </w:r>
      <w:r w:rsidR="00605367" w:rsidRPr="008A2792">
        <w:rPr>
          <w:sz w:val="24"/>
          <w:szCs w:val="24"/>
        </w:rPr>
        <w:t>work on collaborative</w:t>
      </w:r>
      <w:r w:rsidR="009F203D" w:rsidRPr="008A2792">
        <w:rPr>
          <w:sz w:val="24"/>
          <w:szCs w:val="24"/>
        </w:rPr>
        <w:t xml:space="preserve"> projects around teaching and l</w:t>
      </w:r>
      <w:r w:rsidR="00605367" w:rsidRPr="008A2792">
        <w:rPr>
          <w:sz w:val="24"/>
          <w:szCs w:val="24"/>
        </w:rPr>
        <w:t>earning</w:t>
      </w:r>
      <w:r w:rsidR="00460BB7" w:rsidRPr="008A2792">
        <w:rPr>
          <w:sz w:val="24"/>
          <w:szCs w:val="24"/>
        </w:rPr>
        <w:t>.</w:t>
      </w:r>
    </w:p>
    <w:p w14:paraId="544427DB" w14:textId="77777777" w:rsidR="008A2792" w:rsidRPr="008A2792" w:rsidRDefault="008A2792" w:rsidP="00341E93">
      <w:pPr>
        <w:pStyle w:val="CommentText"/>
        <w:spacing w:after="0"/>
        <w:rPr>
          <w:sz w:val="24"/>
          <w:szCs w:val="24"/>
        </w:rPr>
      </w:pPr>
    </w:p>
    <w:p w14:paraId="262DB7C9" w14:textId="44D7FDD9" w:rsidR="001545BF" w:rsidRPr="008A2792" w:rsidRDefault="374A2546" w:rsidP="00341E93">
      <w:pPr>
        <w:pStyle w:val="ListParagraph"/>
        <w:numPr>
          <w:ilvl w:val="0"/>
          <w:numId w:val="5"/>
        </w:numPr>
        <w:spacing w:after="0" w:line="240" w:lineRule="auto"/>
        <w:ind w:left="360"/>
        <w:rPr>
          <w:b/>
          <w:bCs/>
          <w:sz w:val="24"/>
          <w:szCs w:val="24"/>
        </w:rPr>
      </w:pPr>
      <w:r w:rsidRPr="008A2792">
        <w:rPr>
          <w:b/>
          <w:bCs/>
          <w:sz w:val="24"/>
          <w:szCs w:val="24"/>
        </w:rPr>
        <w:t>Incentivizing the Teacher-Scholar - The CLAS Academy and Advisory Board</w:t>
      </w:r>
    </w:p>
    <w:p w14:paraId="24627F9A" w14:textId="44E4B8F2" w:rsidR="3D7D8B56" w:rsidRDefault="374A2546" w:rsidP="00341E93">
      <w:pPr>
        <w:spacing w:after="0" w:line="240" w:lineRule="auto"/>
        <w:rPr>
          <w:sz w:val="24"/>
          <w:szCs w:val="24"/>
        </w:rPr>
      </w:pPr>
      <w:r w:rsidRPr="008A2792">
        <w:rPr>
          <w:sz w:val="24"/>
          <w:szCs w:val="24"/>
        </w:rPr>
        <w:t xml:space="preserve">We envision </w:t>
      </w:r>
      <w:r w:rsidR="1DC90542" w:rsidRPr="008A2792">
        <w:rPr>
          <w:sz w:val="24"/>
          <w:szCs w:val="24"/>
        </w:rPr>
        <w:t>s</w:t>
      </w:r>
      <w:r w:rsidR="173D5370" w:rsidRPr="008A2792">
        <w:rPr>
          <w:sz w:val="24"/>
          <w:szCs w:val="24"/>
        </w:rPr>
        <w:t xml:space="preserve">everal ways to elevate </w:t>
      </w:r>
      <w:r w:rsidR="00460BB7" w:rsidRPr="008A2792">
        <w:rPr>
          <w:sz w:val="24"/>
          <w:szCs w:val="24"/>
        </w:rPr>
        <w:t xml:space="preserve">and extend </w:t>
      </w:r>
      <w:r w:rsidR="008A2792">
        <w:rPr>
          <w:sz w:val="24"/>
          <w:szCs w:val="24"/>
        </w:rPr>
        <w:t xml:space="preserve">a </w:t>
      </w:r>
      <w:r w:rsidR="173D5370" w:rsidRPr="008A2792">
        <w:rPr>
          <w:sz w:val="24"/>
          <w:szCs w:val="24"/>
        </w:rPr>
        <w:t>culture of teaching-scholarship a</w:t>
      </w:r>
      <w:r w:rsidR="78050C37" w:rsidRPr="008A2792">
        <w:rPr>
          <w:sz w:val="24"/>
          <w:szCs w:val="24"/>
        </w:rPr>
        <w:t>mong CLAS facu</w:t>
      </w:r>
      <w:r w:rsidR="746EAA19" w:rsidRPr="008A2792">
        <w:rPr>
          <w:sz w:val="24"/>
          <w:szCs w:val="24"/>
        </w:rPr>
        <w:t>l</w:t>
      </w:r>
      <w:r w:rsidR="78050C37" w:rsidRPr="008A2792">
        <w:rPr>
          <w:sz w:val="24"/>
          <w:szCs w:val="24"/>
        </w:rPr>
        <w:t>ty</w:t>
      </w:r>
      <w:r w:rsidR="3E38D76C" w:rsidRPr="008A2792">
        <w:rPr>
          <w:sz w:val="24"/>
          <w:szCs w:val="24"/>
        </w:rPr>
        <w:t>:</w:t>
      </w:r>
    </w:p>
    <w:p w14:paraId="7713710B" w14:textId="293815F2" w:rsidR="001545BF" w:rsidRPr="008A2792" w:rsidRDefault="374A2546" w:rsidP="00341E93">
      <w:pPr>
        <w:spacing w:after="0" w:line="240" w:lineRule="auto"/>
        <w:rPr>
          <w:b/>
          <w:bCs/>
          <w:sz w:val="24"/>
          <w:szCs w:val="24"/>
        </w:rPr>
      </w:pPr>
      <w:r w:rsidRPr="008A2792">
        <w:rPr>
          <w:b/>
          <w:bCs/>
          <w:i/>
          <w:sz w:val="24"/>
          <w:szCs w:val="24"/>
        </w:rPr>
        <w:t>CLAS General Education (GE) Academy</w:t>
      </w:r>
      <w:r w:rsidR="00282060" w:rsidRPr="008A2792">
        <w:rPr>
          <w:b/>
          <w:bCs/>
          <w:i/>
          <w:sz w:val="24"/>
          <w:szCs w:val="24"/>
        </w:rPr>
        <w:t>:</w:t>
      </w:r>
      <w:r w:rsidR="00282060" w:rsidRPr="008A2792">
        <w:rPr>
          <w:b/>
          <w:bCs/>
          <w:sz w:val="24"/>
          <w:szCs w:val="24"/>
        </w:rPr>
        <w:t xml:space="preserve"> </w:t>
      </w:r>
      <w:r w:rsidR="00282060" w:rsidRPr="008A2792">
        <w:rPr>
          <w:bCs/>
          <w:sz w:val="24"/>
          <w:szCs w:val="24"/>
        </w:rPr>
        <w:t>The Academ</w:t>
      </w:r>
      <w:r w:rsidR="00282060" w:rsidRPr="008A2792">
        <w:rPr>
          <w:sz w:val="24"/>
          <w:szCs w:val="24"/>
        </w:rPr>
        <w:t>y</w:t>
      </w:r>
      <w:r w:rsidRPr="008A2792">
        <w:rPr>
          <w:sz w:val="24"/>
          <w:szCs w:val="24"/>
        </w:rPr>
        <w:t xml:space="preserve"> will meet once each semester and function as an undergraduate advisory board, discussing GE requirements, outcomes, assessment, and best teaching practices, with members from each undergraduate college invited to attend. GE policies and requirements will also be discussed. The goal of the Academy will be to emphasize the common goals and outcomes of the GE Program across the colleges and to encourage participation and communication in and about all aspects of its values and management. The Academy</w:t>
      </w:r>
      <w:r w:rsidR="00282060" w:rsidRPr="008A2792">
        <w:rPr>
          <w:sz w:val="24"/>
          <w:szCs w:val="24"/>
        </w:rPr>
        <w:t xml:space="preserve"> will</w:t>
      </w:r>
      <w:r w:rsidRPr="008A2792">
        <w:rPr>
          <w:sz w:val="24"/>
          <w:szCs w:val="24"/>
        </w:rPr>
        <w:t xml:space="preserve"> participate in group learning activities, through the invitation of guest speakers, alumni, and current students. Topics of interest include, for example, the central role of writing and speaking in GE; preparation of admission to the professional colleges; </w:t>
      </w:r>
      <w:r w:rsidR="000D6C41">
        <w:rPr>
          <w:sz w:val="24"/>
          <w:szCs w:val="24"/>
        </w:rPr>
        <w:t xml:space="preserve">facilitating </w:t>
      </w:r>
      <w:r w:rsidRPr="008A2792">
        <w:rPr>
          <w:sz w:val="24"/>
          <w:szCs w:val="24"/>
        </w:rPr>
        <w:t xml:space="preserve">computer literacy throughout the curriculum. </w:t>
      </w:r>
    </w:p>
    <w:p w14:paraId="75AAD689" w14:textId="14F93712" w:rsidR="090B1E24" w:rsidRPr="008A2792" w:rsidRDefault="374A2546" w:rsidP="00341E93">
      <w:pPr>
        <w:spacing w:after="0" w:line="240" w:lineRule="auto"/>
        <w:rPr>
          <w:b/>
          <w:bCs/>
          <w:sz w:val="24"/>
          <w:szCs w:val="24"/>
        </w:rPr>
      </w:pPr>
      <w:r w:rsidRPr="008A2792">
        <w:rPr>
          <w:b/>
          <w:bCs/>
          <w:i/>
          <w:sz w:val="24"/>
          <w:szCs w:val="24"/>
        </w:rPr>
        <w:t>Core Teaching Fellows</w:t>
      </w:r>
      <w:r w:rsidR="090B1E24" w:rsidRPr="008A2792">
        <w:rPr>
          <w:b/>
          <w:bCs/>
          <w:i/>
          <w:sz w:val="24"/>
          <w:szCs w:val="24"/>
        </w:rPr>
        <w:t>:</w:t>
      </w:r>
      <w:r w:rsidR="090B1E24" w:rsidRPr="008A2792">
        <w:rPr>
          <w:b/>
          <w:bCs/>
          <w:sz w:val="24"/>
          <w:szCs w:val="24"/>
        </w:rPr>
        <w:t xml:space="preserve"> </w:t>
      </w:r>
      <w:r w:rsidRPr="008A2792">
        <w:rPr>
          <w:sz w:val="24"/>
          <w:szCs w:val="24"/>
        </w:rPr>
        <w:t xml:space="preserve">We propose a CLAS Core Teaching Fellows Program, with </w:t>
      </w:r>
      <w:r w:rsidR="007B2396">
        <w:rPr>
          <w:sz w:val="24"/>
          <w:szCs w:val="24"/>
        </w:rPr>
        <w:t xml:space="preserve">Faculty </w:t>
      </w:r>
      <w:r w:rsidRPr="008A2792">
        <w:rPr>
          <w:sz w:val="24"/>
          <w:szCs w:val="24"/>
        </w:rPr>
        <w:t xml:space="preserve">Fellows designated based on </w:t>
      </w:r>
      <w:r w:rsidR="00341E93" w:rsidRPr="008A2792">
        <w:rPr>
          <w:sz w:val="24"/>
          <w:szCs w:val="24"/>
        </w:rPr>
        <w:t xml:space="preserve">their </w:t>
      </w:r>
      <w:r w:rsidRPr="008A2792">
        <w:rPr>
          <w:sz w:val="24"/>
          <w:szCs w:val="24"/>
        </w:rPr>
        <w:t xml:space="preserve">use of best practices in student-centered education focused on the outcomes of the CLAS Core Program. Instructors, with the approval of their department or unit, may apply for status as a Teaching Fellow, an honorary designation that is accompanied by an annual honorarium. </w:t>
      </w:r>
      <w:r w:rsidR="00282060" w:rsidRPr="008A2792">
        <w:rPr>
          <w:sz w:val="24"/>
          <w:szCs w:val="24"/>
        </w:rPr>
        <w:t xml:space="preserve">Fellows </w:t>
      </w:r>
      <w:r w:rsidRPr="008A2792">
        <w:rPr>
          <w:sz w:val="24"/>
          <w:szCs w:val="24"/>
        </w:rPr>
        <w:t xml:space="preserve">will participate in a minimum of two workshops per year </w:t>
      </w:r>
      <w:r w:rsidR="00282060" w:rsidRPr="008A2792">
        <w:rPr>
          <w:sz w:val="24"/>
          <w:szCs w:val="24"/>
        </w:rPr>
        <w:t>on the topic of</w:t>
      </w:r>
      <w:r w:rsidRPr="008A2792">
        <w:rPr>
          <w:sz w:val="24"/>
          <w:szCs w:val="24"/>
        </w:rPr>
        <w:t xml:space="preserve"> best teaching practices, reporting back to their departments on what has been learned; they </w:t>
      </w:r>
      <w:r w:rsidR="00282060" w:rsidRPr="008A2792">
        <w:rPr>
          <w:sz w:val="24"/>
          <w:szCs w:val="24"/>
        </w:rPr>
        <w:t xml:space="preserve">will </w:t>
      </w:r>
      <w:r w:rsidRPr="008A2792">
        <w:rPr>
          <w:sz w:val="24"/>
          <w:szCs w:val="24"/>
        </w:rPr>
        <w:t xml:space="preserve">also participate in related conferences or on-campus discussions in future years for new teaching </w:t>
      </w:r>
      <w:r w:rsidR="00282060" w:rsidRPr="008A2792">
        <w:rPr>
          <w:sz w:val="24"/>
          <w:szCs w:val="24"/>
        </w:rPr>
        <w:t>F</w:t>
      </w:r>
      <w:r w:rsidRPr="008A2792">
        <w:rPr>
          <w:sz w:val="24"/>
          <w:szCs w:val="24"/>
        </w:rPr>
        <w:t xml:space="preserve">ellows and students. Fellows </w:t>
      </w:r>
      <w:r w:rsidR="00282060" w:rsidRPr="008A2792">
        <w:rPr>
          <w:sz w:val="24"/>
          <w:szCs w:val="24"/>
        </w:rPr>
        <w:t xml:space="preserve">will </w:t>
      </w:r>
      <w:r w:rsidRPr="008A2792">
        <w:rPr>
          <w:sz w:val="24"/>
          <w:szCs w:val="24"/>
        </w:rPr>
        <w:t>design instructional activities</w:t>
      </w:r>
      <w:r w:rsidR="00D202F8" w:rsidRPr="008A2792">
        <w:rPr>
          <w:sz w:val="24"/>
          <w:szCs w:val="24"/>
        </w:rPr>
        <w:t xml:space="preserve"> and resources</w:t>
      </w:r>
      <w:r w:rsidRPr="008A2792">
        <w:rPr>
          <w:sz w:val="24"/>
          <w:szCs w:val="24"/>
        </w:rPr>
        <w:t xml:space="preserve">, including online modules </w:t>
      </w:r>
      <w:r w:rsidR="00282060" w:rsidRPr="008A2792">
        <w:rPr>
          <w:sz w:val="24"/>
          <w:szCs w:val="24"/>
        </w:rPr>
        <w:t>on</w:t>
      </w:r>
      <w:r w:rsidRPr="008A2792">
        <w:rPr>
          <w:sz w:val="24"/>
          <w:szCs w:val="24"/>
        </w:rPr>
        <w:t xml:space="preserve"> “difficult” </w:t>
      </w:r>
      <w:r w:rsidR="00D202F8" w:rsidRPr="008A2792">
        <w:rPr>
          <w:sz w:val="24"/>
          <w:szCs w:val="24"/>
        </w:rPr>
        <w:t xml:space="preserve">or “sensitive” </w:t>
      </w:r>
      <w:r w:rsidRPr="008A2792">
        <w:rPr>
          <w:sz w:val="24"/>
          <w:szCs w:val="24"/>
        </w:rPr>
        <w:t>topics</w:t>
      </w:r>
      <w:r w:rsidR="00D202F8" w:rsidRPr="008A2792">
        <w:rPr>
          <w:sz w:val="24"/>
          <w:szCs w:val="24"/>
        </w:rPr>
        <w:t>, which may be used by all instructors at the University</w:t>
      </w:r>
      <w:r w:rsidRPr="008A2792">
        <w:rPr>
          <w:sz w:val="24"/>
          <w:szCs w:val="24"/>
        </w:rPr>
        <w:t>. T</w:t>
      </w:r>
      <w:r w:rsidR="00D202F8" w:rsidRPr="008A2792">
        <w:rPr>
          <w:sz w:val="24"/>
          <w:szCs w:val="24"/>
        </w:rPr>
        <w:t xml:space="preserve">he Fellows program will be </w:t>
      </w:r>
      <w:r w:rsidRPr="008A2792">
        <w:rPr>
          <w:sz w:val="24"/>
          <w:szCs w:val="24"/>
        </w:rPr>
        <w:t>support</w:t>
      </w:r>
      <w:r w:rsidR="00D202F8" w:rsidRPr="008A2792">
        <w:rPr>
          <w:sz w:val="24"/>
          <w:szCs w:val="24"/>
        </w:rPr>
        <w:t>ed</w:t>
      </w:r>
      <w:r w:rsidRPr="008A2792">
        <w:rPr>
          <w:sz w:val="24"/>
          <w:szCs w:val="24"/>
        </w:rPr>
        <w:t xml:space="preserve"> </w:t>
      </w:r>
      <w:r w:rsidR="00D202F8" w:rsidRPr="008A2792">
        <w:rPr>
          <w:sz w:val="24"/>
          <w:szCs w:val="24"/>
        </w:rPr>
        <w:t xml:space="preserve">by </w:t>
      </w:r>
      <w:r w:rsidRPr="008A2792">
        <w:rPr>
          <w:sz w:val="24"/>
          <w:szCs w:val="24"/>
        </w:rPr>
        <w:t>the Center for Teaching and the Office of Teaching, Learning, and Technology</w:t>
      </w:r>
      <w:r w:rsidR="00D202F8" w:rsidRPr="008A2792">
        <w:rPr>
          <w:sz w:val="24"/>
          <w:szCs w:val="24"/>
        </w:rPr>
        <w:t xml:space="preserve"> (OTLT)</w:t>
      </w:r>
      <w:r w:rsidRPr="008A2792">
        <w:rPr>
          <w:sz w:val="24"/>
          <w:szCs w:val="24"/>
        </w:rPr>
        <w:t>.</w:t>
      </w:r>
      <w:r w:rsidR="090B1E24" w:rsidRPr="008A2792">
        <w:rPr>
          <w:sz w:val="24"/>
          <w:szCs w:val="24"/>
        </w:rPr>
        <w:t xml:space="preserve"> </w:t>
      </w:r>
      <w:r w:rsidR="007B2396">
        <w:rPr>
          <w:sz w:val="24"/>
          <w:szCs w:val="24"/>
        </w:rPr>
        <w:t>Teaching Fellows would be encouraged to publish on their experiences using best practices from</w:t>
      </w:r>
      <w:r w:rsidR="090B1E24" w:rsidRPr="008A2792">
        <w:rPr>
          <w:sz w:val="24"/>
          <w:szCs w:val="24"/>
        </w:rPr>
        <w:t xml:space="preserve"> Scholarship of Teaching and Learning</w:t>
      </w:r>
      <w:r w:rsidR="007B2396">
        <w:rPr>
          <w:sz w:val="24"/>
          <w:szCs w:val="24"/>
        </w:rPr>
        <w:t xml:space="preserve">. </w:t>
      </w:r>
    </w:p>
    <w:p w14:paraId="66B449A1" w14:textId="5721EB79" w:rsidR="00341E93" w:rsidRPr="008A2792" w:rsidRDefault="34368DC9" w:rsidP="00341E93">
      <w:pPr>
        <w:spacing w:after="0" w:line="240" w:lineRule="auto"/>
        <w:rPr>
          <w:sz w:val="24"/>
          <w:szCs w:val="24"/>
        </w:rPr>
      </w:pPr>
      <w:r w:rsidRPr="008A2792">
        <w:rPr>
          <w:b/>
          <w:bCs/>
          <w:i/>
          <w:sz w:val="24"/>
          <w:szCs w:val="24"/>
        </w:rPr>
        <w:lastRenderedPageBreak/>
        <w:t>Emphasis on Best Practices in High</w:t>
      </w:r>
      <w:r w:rsidR="00D202F8" w:rsidRPr="008A2792">
        <w:rPr>
          <w:b/>
          <w:bCs/>
          <w:i/>
          <w:sz w:val="24"/>
          <w:szCs w:val="24"/>
        </w:rPr>
        <w:t>-</w:t>
      </w:r>
      <w:r w:rsidRPr="008A2792">
        <w:rPr>
          <w:b/>
          <w:bCs/>
          <w:i/>
          <w:sz w:val="24"/>
          <w:szCs w:val="24"/>
        </w:rPr>
        <w:t>Impact Introductory Courses</w:t>
      </w:r>
      <w:r w:rsidR="090B1E24" w:rsidRPr="008A2792">
        <w:rPr>
          <w:b/>
          <w:bCs/>
          <w:i/>
          <w:sz w:val="24"/>
          <w:szCs w:val="24"/>
        </w:rPr>
        <w:t>:</w:t>
      </w:r>
      <w:r w:rsidR="090B1E24" w:rsidRPr="008A2792">
        <w:rPr>
          <w:b/>
          <w:bCs/>
          <w:sz w:val="24"/>
          <w:szCs w:val="24"/>
        </w:rPr>
        <w:t xml:space="preserve"> </w:t>
      </w:r>
      <w:r w:rsidR="17BE633C" w:rsidRPr="008A2792">
        <w:rPr>
          <w:sz w:val="24"/>
          <w:szCs w:val="24"/>
        </w:rPr>
        <w:t>For high</w:t>
      </w:r>
      <w:r w:rsidR="00D202F8" w:rsidRPr="008A2792">
        <w:rPr>
          <w:sz w:val="24"/>
          <w:szCs w:val="24"/>
        </w:rPr>
        <w:t>-</w:t>
      </w:r>
      <w:r w:rsidR="17BE633C" w:rsidRPr="008A2792">
        <w:rPr>
          <w:sz w:val="24"/>
          <w:szCs w:val="24"/>
        </w:rPr>
        <w:t>imp</w:t>
      </w:r>
      <w:r w:rsidR="007B2396">
        <w:rPr>
          <w:sz w:val="24"/>
          <w:szCs w:val="24"/>
        </w:rPr>
        <w:t xml:space="preserve">act large introductory courses, “intergenerational” teaching </w:t>
      </w:r>
      <w:r w:rsidR="17BE633C" w:rsidRPr="008A2792">
        <w:rPr>
          <w:sz w:val="24"/>
          <w:szCs w:val="24"/>
        </w:rPr>
        <w:t xml:space="preserve">teams of faculty, graduate student TAs and </w:t>
      </w:r>
      <w:r w:rsidR="007B2396">
        <w:rPr>
          <w:sz w:val="24"/>
          <w:szCs w:val="24"/>
        </w:rPr>
        <w:t>undergraduate TAs</w:t>
      </w:r>
      <w:r w:rsidR="17BE633C" w:rsidRPr="008A2792">
        <w:rPr>
          <w:sz w:val="24"/>
          <w:szCs w:val="24"/>
        </w:rPr>
        <w:t xml:space="preserve"> </w:t>
      </w:r>
      <w:r w:rsidR="007B2396">
        <w:rPr>
          <w:sz w:val="24"/>
          <w:szCs w:val="24"/>
        </w:rPr>
        <w:t xml:space="preserve">are shown to be highly </w:t>
      </w:r>
      <w:r w:rsidR="17BE633C" w:rsidRPr="008A2792">
        <w:rPr>
          <w:sz w:val="24"/>
          <w:szCs w:val="24"/>
        </w:rPr>
        <w:t xml:space="preserve">effective. </w:t>
      </w:r>
      <w:r w:rsidR="3E38D76C" w:rsidRPr="008A2792">
        <w:rPr>
          <w:sz w:val="24"/>
          <w:szCs w:val="24"/>
        </w:rPr>
        <w:t xml:space="preserve">In addition, </w:t>
      </w:r>
      <w:r w:rsidR="00D202F8" w:rsidRPr="008A2792">
        <w:rPr>
          <w:sz w:val="24"/>
          <w:szCs w:val="24"/>
        </w:rPr>
        <w:t>research suggest</w:t>
      </w:r>
      <w:r w:rsidR="00605367" w:rsidRPr="008A2792">
        <w:rPr>
          <w:sz w:val="24"/>
          <w:szCs w:val="24"/>
        </w:rPr>
        <w:t>s</w:t>
      </w:r>
      <w:r w:rsidR="00D202F8" w:rsidRPr="008A2792">
        <w:rPr>
          <w:sz w:val="24"/>
          <w:szCs w:val="24"/>
        </w:rPr>
        <w:t xml:space="preserve"> that </w:t>
      </w:r>
      <w:r w:rsidR="00341E93" w:rsidRPr="008A2792">
        <w:rPr>
          <w:sz w:val="24"/>
          <w:szCs w:val="24"/>
        </w:rPr>
        <w:t xml:space="preserve">more </w:t>
      </w:r>
      <w:r w:rsidR="17BE633C" w:rsidRPr="008A2792">
        <w:rPr>
          <w:sz w:val="24"/>
          <w:szCs w:val="24"/>
        </w:rPr>
        <w:t xml:space="preserve">personalized learning </w:t>
      </w:r>
      <w:r w:rsidR="00D202F8" w:rsidRPr="008A2792">
        <w:rPr>
          <w:sz w:val="24"/>
          <w:szCs w:val="24"/>
        </w:rPr>
        <w:t xml:space="preserve">and </w:t>
      </w:r>
      <w:r w:rsidR="17BE633C" w:rsidRPr="008A2792">
        <w:rPr>
          <w:sz w:val="24"/>
          <w:szCs w:val="24"/>
        </w:rPr>
        <w:t xml:space="preserve">individual options through </w:t>
      </w:r>
      <w:r w:rsidR="00600ADE" w:rsidRPr="008A2792">
        <w:rPr>
          <w:sz w:val="24"/>
          <w:szCs w:val="24"/>
        </w:rPr>
        <w:t xml:space="preserve">ICON </w:t>
      </w:r>
      <w:r w:rsidR="17BE633C" w:rsidRPr="008A2792">
        <w:rPr>
          <w:sz w:val="24"/>
          <w:szCs w:val="24"/>
        </w:rPr>
        <w:t xml:space="preserve">dashboards </w:t>
      </w:r>
      <w:r w:rsidR="00D202F8" w:rsidRPr="008A2792">
        <w:rPr>
          <w:sz w:val="24"/>
          <w:szCs w:val="24"/>
        </w:rPr>
        <w:t>s</w:t>
      </w:r>
      <w:r w:rsidR="17BE633C" w:rsidRPr="008A2792">
        <w:rPr>
          <w:sz w:val="24"/>
          <w:szCs w:val="24"/>
        </w:rPr>
        <w:t>upport student success and identify at</w:t>
      </w:r>
      <w:r w:rsidR="00605367" w:rsidRPr="008A2792">
        <w:rPr>
          <w:sz w:val="24"/>
          <w:szCs w:val="24"/>
        </w:rPr>
        <w:t>-</w:t>
      </w:r>
      <w:r w:rsidR="17BE633C" w:rsidRPr="008A2792">
        <w:rPr>
          <w:sz w:val="24"/>
          <w:szCs w:val="24"/>
        </w:rPr>
        <w:t xml:space="preserve">risk students earlier in the semester. </w:t>
      </w:r>
      <w:r w:rsidR="3E421A25" w:rsidRPr="008A2792">
        <w:rPr>
          <w:sz w:val="24"/>
          <w:szCs w:val="24"/>
        </w:rPr>
        <w:t>The Office</w:t>
      </w:r>
      <w:r w:rsidR="007B2396">
        <w:rPr>
          <w:sz w:val="24"/>
          <w:szCs w:val="24"/>
        </w:rPr>
        <w:t>s</w:t>
      </w:r>
      <w:r w:rsidR="3E421A25" w:rsidRPr="008A2792">
        <w:rPr>
          <w:sz w:val="24"/>
          <w:szCs w:val="24"/>
        </w:rPr>
        <w:t xml:space="preserve"> of Academic </w:t>
      </w:r>
      <w:r w:rsidR="17BE633C" w:rsidRPr="008A2792">
        <w:rPr>
          <w:sz w:val="24"/>
          <w:szCs w:val="24"/>
        </w:rPr>
        <w:t>S</w:t>
      </w:r>
      <w:r w:rsidR="3E421A25" w:rsidRPr="008A2792">
        <w:rPr>
          <w:sz w:val="24"/>
          <w:szCs w:val="24"/>
        </w:rPr>
        <w:t xml:space="preserve">upport and </w:t>
      </w:r>
      <w:r w:rsidR="17BE633C" w:rsidRPr="008A2792">
        <w:rPr>
          <w:sz w:val="24"/>
          <w:szCs w:val="24"/>
        </w:rPr>
        <w:t>R</w:t>
      </w:r>
      <w:r w:rsidR="3E421A25" w:rsidRPr="008A2792">
        <w:rPr>
          <w:sz w:val="24"/>
          <w:szCs w:val="24"/>
        </w:rPr>
        <w:t>etention</w:t>
      </w:r>
      <w:r w:rsidR="00D202F8" w:rsidRPr="008A2792">
        <w:rPr>
          <w:sz w:val="24"/>
          <w:szCs w:val="24"/>
        </w:rPr>
        <w:t xml:space="preserve"> a</w:t>
      </w:r>
      <w:r w:rsidR="00600ADE" w:rsidRPr="008A2792">
        <w:rPr>
          <w:sz w:val="24"/>
          <w:szCs w:val="24"/>
        </w:rPr>
        <w:t>n</w:t>
      </w:r>
      <w:r w:rsidR="00D202F8" w:rsidRPr="008A2792">
        <w:rPr>
          <w:sz w:val="24"/>
          <w:szCs w:val="24"/>
        </w:rPr>
        <w:t xml:space="preserve">d </w:t>
      </w:r>
      <w:r w:rsidR="007B2396">
        <w:rPr>
          <w:sz w:val="24"/>
          <w:szCs w:val="24"/>
        </w:rPr>
        <w:t xml:space="preserve">of Teaching Learning and Technology </w:t>
      </w:r>
      <w:r w:rsidR="00D202F8" w:rsidRPr="008A2792">
        <w:rPr>
          <w:sz w:val="24"/>
          <w:szCs w:val="24"/>
        </w:rPr>
        <w:t xml:space="preserve">are currently working on these </w:t>
      </w:r>
      <w:r w:rsidR="17BE633C" w:rsidRPr="008A2792">
        <w:rPr>
          <w:sz w:val="24"/>
          <w:szCs w:val="24"/>
        </w:rPr>
        <w:t xml:space="preserve">kinds of initiatives. </w:t>
      </w:r>
      <w:r w:rsidR="00605367" w:rsidRPr="008A2792">
        <w:rPr>
          <w:sz w:val="24"/>
          <w:szCs w:val="24"/>
        </w:rPr>
        <w:t xml:space="preserve">For example, </w:t>
      </w:r>
      <w:r w:rsidR="17BE633C" w:rsidRPr="008A2792">
        <w:rPr>
          <w:sz w:val="24"/>
          <w:szCs w:val="24"/>
        </w:rPr>
        <w:t xml:space="preserve">“Elements of Success” – a learning analytics dashboard </w:t>
      </w:r>
      <w:r w:rsidR="007B2396">
        <w:rPr>
          <w:sz w:val="24"/>
          <w:szCs w:val="24"/>
        </w:rPr>
        <w:t xml:space="preserve">available in ICON </w:t>
      </w:r>
      <w:r w:rsidR="17BE633C" w:rsidRPr="008A2792">
        <w:rPr>
          <w:sz w:val="24"/>
          <w:szCs w:val="24"/>
        </w:rPr>
        <w:t xml:space="preserve">– </w:t>
      </w:r>
      <w:r w:rsidR="00605367" w:rsidRPr="008A2792">
        <w:rPr>
          <w:sz w:val="24"/>
          <w:szCs w:val="24"/>
        </w:rPr>
        <w:t xml:space="preserve">is being </w:t>
      </w:r>
      <w:r w:rsidR="17BE633C" w:rsidRPr="008A2792">
        <w:rPr>
          <w:sz w:val="24"/>
          <w:szCs w:val="24"/>
        </w:rPr>
        <w:t xml:space="preserve">piloted in Introductory </w:t>
      </w:r>
      <w:r w:rsidR="00605367" w:rsidRPr="008A2792">
        <w:rPr>
          <w:sz w:val="24"/>
          <w:szCs w:val="24"/>
        </w:rPr>
        <w:t>STEM</w:t>
      </w:r>
      <w:r w:rsidR="17BE633C" w:rsidRPr="008A2792">
        <w:rPr>
          <w:sz w:val="24"/>
          <w:szCs w:val="24"/>
        </w:rPr>
        <w:t xml:space="preserve"> courses </w:t>
      </w:r>
      <w:r w:rsidR="00E6374E" w:rsidRPr="008A2792">
        <w:rPr>
          <w:sz w:val="24"/>
          <w:szCs w:val="24"/>
        </w:rPr>
        <w:t xml:space="preserve">at Iowa </w:t>
      </w:r>
      <w:r w:rsidR="17BE633C" w:rsidRPr="008A2792">
        <w:rPr>
          <w:sz w:val="24"/>
          <w:szCs w:val="24"/>
        </w:rPr>
        <w:t>with good outcomes</w:t>
      </w:r>
      <w:r w:rsidR="00605367" w:rsidRPr="008A2792">
        <w:rPr>
          <w:sz w:val="24"/>
          <w:szCs w:val="24"/>
        </w:rPr>
        <w:t>, and we encourage this kind of collaboration among faculty and academic staff</w:t>
      </w:r>
      <w:r w:rsidR="00E044D2" w:rsidRPr="008A2792">
        <w:rPr>
          <w:sz w:val="24"/>
          <w:szCs w:val="24"/>
        </w:rPr>
        <w:t xml:space="preserve">. </w:t>
      </w:r>
    </w:p>
    <w:p w14:paraId="2AF69597" w14:textId="77777777" w:rsidR="00341E93" w:rsidRPr="008A2792" w:rsidRDefault="00341E93" w:rsidP="00341E93">
      <w:pPr>
        <w:spacing w:after="0" w:line="240" w:lineRule="auto"/>
        <w:rPr>
          <w:sz w:val="24"/>
          <w:szCs w:val="24"/>
        </w:rPr>
      </w:pPr>
    </w:p>
    <w:p w14:paraId="6318A6FB" w14:textId="03C6D39D" w:rsidR="000D21B9" w:rsidRPr="008A2792" w:rsidRDefault="000F3C6C" w:rsidP="00341E93">
      <w:pPr>
        <w:pStyle w:val="ListParagraph"/>
        <w:numPr>
          <w:ilvl w:val="0"/>
          <w:numId w:val="5"/>
        </w:numPr>
        <w:spacing w:after="0" w:line="240" w:lineRule="auto"/>
        <w:ind w:left="360"/>
        <w:rPr>
          <w:b/>
          <w:sz w:val="24"/>
          <w:szCs w:val="24"/>
        </w:rPr>
      </w:pPr>
      <w:r w:rsidRPr="008A2792">
        <w:rPr>
          <w:b/>
          <w:bCs/>
          <w:sz w:val="24"/>
          <w:szCs w:val="24"/>
        </w:rPr>
        <w:t xml:space="preserve">Interdisciplinary Learning Experiences </w:t>
      </w:r>
      <w:r w:rsidR="00AE2C74" w:rsidRPr="008A2792">
        <w:rPr>
          <w:rStyle w:val="FootnoteReference"/>
          <w:b/>
          <w:sz w:val="24"/>
          <w:szCs w:val="24"/>
        </w:rPr>
        <w:footnoteReference w:id="3"/>
      </w:r>
    </w:p>
    <w:p w14:paraId="06AD7631" w14:textId="707D2AAD" w:rsidR="00E831A7" w:rsidRPr="008A2792" w:rsidRDefault="00C22EED" w:rsidP="00341E93">
      <w:pPr>
        <w:pStyle w:val="CommentText"/>
        <w:spacing w:after="0"/>
        <w:rPr>
          <w:sz w:val="24"/>
          <w:szCs w:val="24"/>
        </w:rPr>
      </w:pPr>
      <w:r w:rsidRPr="008A2792">
        <w:rPr>
          <w:sz w:val="24"/>
          <w:szCs w:val="24"/>
        </w:rPr>
        <w:t>We advocate for interdisciplinary learning experience</w:t>
      </w:r>
      <w:r w:rsidR="0035082D" w:rsidRPr="008A2792">
        <w:rPr>
          <w:sz w:val="24"/>
          <w:szCs w:val="24"/>
        </w:rPr>
        <w:t>s</w:t>
      </w:r>
      <w:r w:rsidRPr="008A2792">
        <w:rPr>
          <w:sz w:val="24"/>
          <w:szCs w:val="24"/>
        </w:rPr>
        <w:t xml:space="preserve"> </w:t>
      </w:r>
      <w:r w:rsidR="0035082D" w:rsidRPr="008A2792">
        <w:rPr>
          <w:sz w:val="24"/>
          <w:szCs w:val="24"/>
        </w:rPr>
        <w:t>to prepare students for today’s complex world</w:t>
      </w:r>
      <w:r w:rsidR="00E044D2" w:rsidRPr="008A2792">
        <w:rPr>
          <w:sz w:val="24"/>
          <w:szCs w:val="24"/>
        </w:rPr>
        <w:t xml:space="preserve">. </w:t>
      </w:r>
      <w:r w:rsidR="0035082D" w:rsidRPr="008A2792">
        <w:rPr>
          <w:sz w:val="24"/>
          <w:szCs w:val="24"/>
        </w:rPr>
        <w:t>For example, e</w:t>
      </w:r>
      <w:r w:rsidR="001419CC" w:rsidRPr="008A2792">
        <w:rPr>
          <w:sz w:val="24"/>
          <w:szCs w:val="24"/>
        </w:rPr>
        <w:t xml:space="preserve">xpansion </w:t>
      </w:r>
      <w:r w:rsidR="00341E93" w:rsidRPr="008A2792">
        <w:rPr>
          <w:sz w:val="24"/>
          <w:szCs w:val="24"/>
        </w:rPr>
        <w:t xml:space="preserve">and </w:t>
      </w:r>
      <w:r w:rsidR="00341E93" w:rsidRPr="007B2396">
        <w:rPr>
          <w:sz w:val="24"/>
          <w:szCs w:val="24"/>
        </w:rPr>
        <w:t>formalization</w:t>
      </w:r>
      <w:r w:rsidR="008A2792" w:rsidRPr="007B2396">
        <w:rPr>
          <w:sz w:val="24"/>
          <w:szCs w:val="24"/>
        </w:rPr>
        <w:t xml:space="preserve"> (with a </w:t>
      </w:r>
      <w:r w:rsidR="007B2396" w:rsidRPr="007B2396">
        <w:rPr>
          <w:sz w:val="24"/>
          <w:szCs w:val="24"/>
        </w:rPr>
        <w:t xml:space="preserve">faculty </w:t>
      </w:r>
      <w:r w:rsidR="008A2792" w:rsidRPr="007B2396">
        <w:rPr>
          <w:sz w:val="24"/>
          <w:szCs w:val="24"/>
        </w:rPr>
        <w:t xml:space="preserve">director </w:t>
      </w:r>
      <w:r w:rsidR="007B2396" w:rsidRPr="007B2396">
        <w:rPr>
          <w:sz w:val="24"/>
          <w:szCs w:val="24"/>
        </w:rPr>
        <w:t>and assessment coordinator</w:t>
      </w:r>
      <w:r w:rsidR="008A2792" w:rsidRPr="007B2396">
        <w:rPr>
          <w:sz w:val="24"/>
          <w:szCs w:val="24"/>
        </w:rPr>
        <w:t>)</w:t>
      </w:r>
      <w:r w:rsidR="008A2792" w:rsidRPr="008A2792">
        <w:rPr>
          <w:sz w:val="24"/>
          <w:szCs w:val="24"/>
        </w:rPr>
        <w:t xml:space="preserve"> </w:t>
      </w:r>
      <w:r w:rsidR="00341E93" w:rsidRPr="008A2792">
        <w:rPr>
          <w:sz w:val="24"/>
          <w:szCs w:val="24"/>
        </w:rPr>
        <w:t xml:space="preserve">of the </w:t>
      </w:r>
      <w:r w:rsidR="001419CC" w:rsidRPr="008A2792">
        <w:rPr>
          <w:sz w:val="24"/>
          <w:szCs w:val="24"/>
        </w:rPr>
        <w:t xml:space="preserve">“Big Ideas” </w:t>
      </w:r>
      <w:r w:rsidR="00E6374E" w:rsidRPr="008A2792">
        <w:rPr>
          <w:sz w:val="24"/>
          <w:szCs w:val="24"/>
        </w:rPr>
        <w:t xml:space="preserve">Program </w:t>
      </w:r>
      <w:r w:rsidR="007B2396">
        <w:rPr>
          <w:sz w:val="24"/>
          <w:szCs w:val="24"/>
        </w:rPr>
        <w:t xml:space="preserve">would </w:t>
      </w:r>
      <w:r w:rsidR="00E6374E" w:rsidRPr="008A2792">
        <w:rPr>
          <w:sz w:val="24"/>
          <w:szCs w:val="24"/>
        </w:rPr>
        <w:t>strengthen i</w:t>
      </w:r>
      <w:r w:rsidR="001419CC" w:rsidRPr="008A2792">
        <w:rPr>
          <w:sz w:val="24"/>
          <w:szCs w:val="24"/>
        </w:rPr>
        <w:t xml:space="preserve">nterdisciplinary learning and teach students to think synthetically. </w:t>
      </w:r>
      <w:r w:rsidR="000D21B9" w:rsidRPr="008A2792">
        <w:rPr>
          <w:sz w:val="24"/>
          <w:szCs w:val="24"/>
        </w:rPr>
        <w:t xml:space="preserve">Big Ideas courses </w:t>
      </w:r>
      <w:r w:rsidR="001419CC" w:rsidRPr="008A2792">
        <w:rPr>
          <w:sz w:val="24"/>
          <w:szCs w:val="24"/>
        </w:rPr>
        <w:t xml:space="preserve">– </w:t>
      </w:r>
      <w:r w:rsidR="007B2396">
        <w:rPr>
          <w:sz w:val="24"/>
          <w:szCs w:val="24"/>
        </w:rPr>
        <w:t>currently 7 being taught in the</w:t>
      </w:r>
      <w:r w:rsidR="001419CC" w:rsidRPr="008A2792">
        <w:rPr>
          <w:sz w:val="24"/>
          <w:szCs w:val="24"/>
        </w:rPr>
        <w:t xml:space="preserve"> </w:t>
      </w:r>
      <w:r w:rsidR="000070EC" w:rsidRPr="008A2792">
        <w:rPr>
          <w:sz w:val="24"/>
          <w:szCs w:val="24"/>
        </w:rPr>
        <w:t xml:space="preserve">GE </w:t>
      </w:r>
      <w:r w:rsidR="007B2396">
        <w:rPr>
          <w:sz w:val="24"/>
          <w:szCs w:val="24"/>
        </w:rPr>
        <w:t>Program</w:t>
      </w:r>
      <w:r w:rsidR="001419CC" w:rsidRPr="008A2792">
        <w:rPr>
          <w:sz w:val="24"/>
          <w:szCs w:val="24"/>
        </w:rPr>
        <w:t xml:space="preserve"> – </w:t>
      </w:r>
      <w:r w:rsidR="000D21B9" w:rsidRPr="008A2792">
        <w:rPr>
          <w:sz w:val="24"/>
          <w:szCs w:val="24"/>
        </w:rPr>
        <w:t>model</w:t>
      </w:r>
      <w:r w:rsidR="001419CC" w:rsidRPr="008A2792">
        <w:rPr>
          <w:sz w:val="24"/>
          <w:szCs w:val="24"/>
        </w:rPr>
        <w:t xml:space="preserve"> </w:t>
      </w:r>
      <w:r w:rsidR="000D21B9" w:rsidRPr="008A2792">
        <w:rPr>
          <w:sz w:val="24"/>
          <w:szCs w:val="24"/>
        </w:rPr>
        <w:t>best student-centered learning practices</w:t>
      </w:r>
      <w:r w:rsidR="00E6374E" w:rsidRPr="008A2792">
        <w:rPr>
          <w:sz w:val="24"/>
          <w:szCs w:val="24"/>
        </w:rPr>
        <w:t>.  A</w:t>
      </w:r>
      <w:r w:rsidR="000D21B9" w:rsidRPr="008A2792">
        <w:rPr>
          <w:sz w:val="24"/>
          <w:szCs w:val="24"/>
        </w:rPr>
        <w:t>s team-taught, interdisciplinary experiences</w:t>
      </w:r>
      <w:r w:rsidR="00E6374E" w:rsidRPr="008A2792">
        <w:rPr>
          <w:sz w:val="24"/>
          <w:szCs w:val="24"/>
        </w:rPr>
        <w:t xml:space="preserve">, Big Ideas courses are </w:t>
      </w:r>
      <w:r w:rsidR="007B2396">
        <w:rPr>
          <w:sz w:val="24"/>
          <w:szCs w:val="24"/>
        </w:rPr>
        <w:t>also</w:t>
      </w:r>
      <w:r w:rsidR="000D21B9" w:rsidRPr="008A2792">
        <w:rPr>
          <w:sz w:val="24"/>
          <w:szCs w:val="24"/>
        </w:rPr>
        <w:t xml:space="preserve"> focus on inquiry-</w:t>
      </w:r>
      <w:r w:rsidR="000D6C41">
        <w:rPr>
          <w:sz w:val="24"/>
          <w:szCs w:val="24"/>
        </w:rPr>
        <w:t xml:space="preserve">based </w:t>
      </w:r>
      <w:r w:rsidR="000D21B9" w:rsidRPr="008A2792">
        <w:rPr>
          <w:sz w:val="24"/>
          <w:szCs w:val="24"/>
        </w:rPr>
        <w:t>learning</w:t>
      </w:r>
      <w:r w:rsidR="007B2396">
        <w:rPr>
          <w:sz w:val="24"/>
          <w:szCs w:val="24"/>
        </w:rPr>
        <w:t>, often in the TILE classrooms</w:t>
      </w:r>
      <w:r w:rsidR="000D21B9" w:rsidRPr="008A2792">
        <w:rPr>
          <w:sz w:val="24"/>
          <w:szCs w:val="24"/>
        </w:rPr>
        <w:t xml:space="preserve">. A goal is to </w:t>
      </w:r>
      <w:r w:rsidR="001419CC" w:rsidRPr="008A2792">
        <w:rPr>
          <w:sz w:val="24"/>
          <w:szCs w:val="24"/>
        </w:rPr>
        <w:t xml:space="preserve">formalize the program and </w:t>
      </w:r>
      <w:r w:rsidR="000D21B9" w:rsidRPr="008A2792">
        <w:rPr>
          <w:sz w:val="24"/>
          <w:szCs w:val="24"/>
        </w:rPr>
        <w:t xml:space="preserve">have at least 50% of each entering cohort of first-year students participate in a Big Ideas </w:t>
      </w:r>
      <w:r w:rsidR="00E6374E" w:rsidRPr="008A2792">
        <w:rPr>
          <w:sz w:val="24"/>
          <w:szCs w:val="24"/>
        </w:rPr>
        <w:t xml:space="preserve">course. </w:t>
      </w:r>
      <w:r w:rsidR="000D6C41">
        <w:rPr>
          <w:sz w:val="24"/>
          <w:szCs w:val="24"/>
        </w:rPr>
        <w:t>T</w:t>
      </w:r>
      <w:r w:rsidR="00E6374E" w:rsidRPr="008A2792">
        <w:rPr>
          <w:sz w:val="24"/>
          <w:szCs w:val="24"/>
        </w:rPr>
        <w:t xml:space="preserve">o achieve this goal, we recommend </w:t>
      </w:r>
      <w:r w:rsidR="000D21B9" w:rsidRPr="008A2792">
        <w:rPr>
          <w:sz w:val="24"/>
          <w:szCs w:val="24"/>
        </w:rPr>
        <w:t>expand</w:t>
      </w:r>
      <w:r w:rsidR="000D6C41">
        <w:rPr>
          <w:sz w:val="24"/>
          <w:szCs w:val="24"/>
        </w:rPr>
        <w:t>ing</w:t>
      </w:r>
      <w:r w:rsidR="00E6374E" w:rsidRPr="008A2792">
        <w:rPr>
          <w:sz w:val="24"/>
          <w:szCs w:val="24"/>
        </w:rPr>
        <w:t xml:space="preserve"> the Big Ideas course offerings </w:t>
      </w:r>
      <w:r w:rsidR="000D21B9" w:rsidRPr="008A2792">
        <w:rPr>
          <w:sz w:val="24"/>
          <w:szCs w:val="24"/>
        </w:rPr>
        <w:t xml:space="preserve">from </w:t>
      </w:r>
      <w:r w:rsidR="00E6374E" w:rsidRPr="008A2792">
        <w:rPr>
          <w:sz w:val="24"/>
          <w:szCs w:val="24"/>
        </w:rPr>
        <w:t xml:space="preserve">the current </w:t>
      </w:r>
      <w:r w:rsidR="000D21B9" w:rsidRPr="008A2792">
        <w:rPr>
          <w:sz w:val="24"/>
          <w:szCs w:val="24"/>
        </w:rPr>
        <w:t xml:space="preserve">7 </w:t>
      </w:r>
      <w:r w:rsidR="00E6374E" w:rsidRPr="008A2792">
        <w:rPr>
          <w:sz w:val="24"/>
          <w:szCs w:val="24"/>
        </w:rPr>
        <w:t xml:space="preserve">courses </w:t>
      </w:r>
      <w:r w:rsidR="000D21B9" w:rsidRPr="008A2792">
        <w:rPr>
          <w:sz w:val="24"/>
          <w:szCs w:val="24"/>
        </w:rPr>
        <w:t>to 15.</w:t>
      </w:r>
      <w:r w:rsidR="000070EC" w:rsidRPr="008A2792">
        <w:rPr>
          <w:sz w:val="24"/>
          <w:szCs w:val="24"/>
        </w:rPr>
        <w:t xml:space="preserve"> </w:t>
      </w:r>
      <w:r w:rsidR="007B2396">
        <w:rPr>
          <w:sz w:val="24"/>
          <w:szCs w:val="24"/>
        </w:rPr>
        <w:t xml:space="preserve">Big Ideas courses could be taught </w:t>
      </w:r>
      <w:r w:rsidR="000070EC" w:rsidRPr="008A2792">
        <w:rPr>
          <w:sz w:val="24"/>
          <w:szCs w:val="24"/>
        </w:rPr>
        <w:t>cross-collegiate</w:t>
      </w:r>
      <w:r w:rsidR="007B2396">
        <w:rPr>
          <w:sz w:val="24"/>
          <w:szCs w:val="24"/>
        </w:rPr>
        <w:t>ly and showcase the broader academic offerings at the University</w:t>
      </w:r>
      <w:r w:rsidR="00E044D2" w:rsidRPr="008A2792">
        <w:rPr>
          <w:sz w:val="24"/>
          <w:szCs w:val="24"/>
        </w:rPr>
        <w:t xml:space="preserve">. </w:t>
      </w:r>
      <w:r w:rsidR="001E48F1" w:rsidRPr="008A2792">
        <w:rPr>
          <w:sz w:val="24"/>
          <w:szCs w:val="24"/>
        </w:rPr>
        <w:t xml:space="preserve"> </w:t>
      </w:r>
      <w:r w:rsidR="007B2396">
        <w:rPr>
          <w:sz w:val="24"/>
          <w:szCs w:val="24"/>
        </w:rPr>
        <w:t xml:space="preserve">Big Ideas courses can provide </w:t>
      </w:r>
      <w:r w:rsidR="001E48F1" w:rsidRPr="008A2792">
        <w:rPr>
          <w:sz w:val="24"/>
          <w:szCs w:val="24"/>
        </w:rPr>
        <w:t>opportunities</w:t>
      </w:r>
      <w:r w:rsidR="007B2396">
        <w:rPr>
          <w:sz w:val="24"/>
          <w:szCs w:val="24"/>
        </w:rPr>
        <w:t xml:space="preserve"> for students</w:t>
      </w:r>
      <w:r w:rsidR="001E48F1" w:rsidRPr="008A2792">
        <w:rPr>
          <w:sz w:val="24"/>
          <w:szCs w:val="24"/>
        </w:rPr>
        <w:t xml:space="preserve"> to learn in </w:t>
      </w:r>
      <w:r w:rsidR="001E48F1" w:rsidRPr="007B2396">
        <w:rPr>
          <w:sz w:val="24"/>
          <w:szCs w:val="24"/>
        </w:rPr>
        <w:t xml:space="preserve">interdisciplinary </w:t>
      </w:r>
      <w:r w:rsidR="007B2396">
        <w:rPr>
          <w:sz w:val="24"/>
          <w:szCs w:val="24"/>
        </w:rPr>
        <w:t xml:space="preserve">environments, modeling </w:t>
      </w:r>
      <w:r w:rsidR="007B2396" w:rsidRPr="007B2396">
        <w:rPr>
          <w:sz w:val="24"/>
          <w:szCs w:val="24"/>
        </w:rPr>
        <w:t xml:space="preserve">the </w:t>
      </w:r>
      <w:r w:rsidR="001E48F1" w:rsidRPr="007B2396">
        <w:rPr>
          <w:sz w:val="24"/>
          <w:szCs w:val="24"/>
        </w:rPr>
        <w:t>interdisciplinary</w:t>
      </w:r>
      <w:r w:rsidR="007B2396">
        <w:rPr>
          <w:sz w:val="24"/>
          <w:szCs w:val="24"/>
        </w:rPr>
        <w:t xml:space="preserve"> work of a research university</w:t>
      </w:r>
      <w:r w:rsidR="001E48F1" w:rsidRPr="008A2792">
        <w:rPr>
          <w:sz w:val="24"/>
          <w:szCs w:val="24"/>
        </w:rPr>
        <w:t>.</w:t>
      </w:r>
    </w:p>
    <w:p w14:paraId="7DD7FF2E" w14:textId="77777777" w:rsidR="00341E93" w:rsidRPr="008A2792" w:rsidRDefault="00341E93" w:rsidP="00341E93">
      <w:pPr>
        <w:pStyle w:val="CommentText"/>
        <w:spacing w:after="0"/>
        <w:rPr>
          <w:sz w:val="24"/>
          <w:szCs w:val="24"/>
        </w:rPr>
      </w:pPr>
    </w:p>
    <w:p w14:paraId="1A125426" w14:textId="2B124E64" w:rsidR="000D21B9" w:rsidRPr="008A2792" w:rsidRDefault="000F3C6C" w:rsidP="00341E93">
      <w:pPr>
        <w:pStyle w:val="ListParagraph"/>
        <w:numPr>
          <w:ilvl w:val="0"/>
          <w:numId w:val="5"/>
        </w:numPr>
        <w:spacing w:after="0" w:line="240" w:lineRule="auto"/>
        <w:ind w:left="360"/>
        <w:rPr>
          <w:b/>
          <w:bCs/>
          <w:sz w:val="24"/>
          <w:szCs w:val="24"/>
        </w:rPr>
      </w:pPr>
      <w:r w:rsidRPr="008A2792">
        <w:rPr>
          <w:b/>
          <w:bCs/>
          <w:sz w:val="24"/>
          <w:szCs w:val="24"/>
        </w:rPr>
        <w:t>Service-Learning and Honing Disciplinary Skill</w:t>
      </w:r>
      <w:r w:rsidR="000070EC" w:rsidRPr="008A2792">
        <w:rPr>
          <w:b/>
          <w:bCs/>
          <w:sz w:val="24"/>
          <w:szCs w:val="24"/>
        </w:rPr>
        <w:t>set</w:t>
      </w:r>
      <w:r w:rsidRPr="008A2792">
        <w:rPr>
          <w:b/>
          <w:bCs/>
          <w:sz w:val="24"/>
          <w:szCs w:val="24"/>
        </w:rPr>
        <w:t xml:space="preserve">s – </w:t>
      </w:r>
      <w:r w:rsidR="001419CC" w:rsidRPr="008A2792">
        <w:rPr>
          <w:b/>
          <w:bCs/>
          <w:sz w:val="24"/>
          <w:szCs w:val="24"/>
        </w:rPr>
        <w:t>Expansion</w:t>
      </w:r>
      <w:r w:rsidRPr="008A2792">
        <w:rPr>
          <w:b/>
          <w:bCs/>
          <w:sz w:val="24"/>
          <w:szCs w:val="24"/>
        </w:rPr>
        <w:t xml:space="preserve"> </w:t>
      </w:r>
      <w:r w:rsidR="001419CC" w:rsidRPr="008A2792">
        <w:rPr>
          <w:b/>
          <w:bCs/>
          <w:sz w:val="24"/>
          <w:szCs w:val="24"/>
        </w:rPr>
        <w:t xml:space="preserve">of </w:t>
      </w:r>
      <w:r w:rsidR="000D21B9" w:rsidRPr="008A2792">
        <w:rPr>
          <w:b/>
          <w:bCs/>
          <w:sz w:val="24"/>
          <w:szCs w:val="24"/>
        </w:rPr>
        <w:t>Capstone Experiences</w:t>
      </w:r>
      <w:r w:rsidR="00AE2C74" w:rsidRPr="008A2792">
        <w:rPr>
          <w:rStyle w:val="FootnoteReference"/>
          <w:sz w:val="24"/>
          <w:szCs w:val="24"/>
        </w:rPr>
        <w:footnoteReference w:id="4"/>
      </w:r>
    </w:p>
    <w:p w14:paraId="05C77359" w14:textId="3D65768F" w:rsidR="00E831A7" w:rsidRPr="008A2792" w:rsidRDefault="000D21B9" w:rsidP="00341E93">
      <w:pPr>
        <w:spacing w:after="0" w:line="240" w:lineRule="auto"/>
        <w:rPr>
          <w:sz w:val="24"/>
          <w:szCs w:val="24"/>
        </w:rPr>
      </w:pPr>
      <w:r w:rsidRPr="008A2792">
        <w:rPr>
          <w:sz w:val="24"/>
          <w:szCs w:val="24"/>
        </w:rPr>
        <w:t>We envision an expansion of the capstone experience, wherein each major in CLAS will require either</w:t>
      </w:r>
      <w:r w:rsidR="007C3CE8" w:rsidRPr="008A2792">
        <w:rPr>
          <w:sz w:val="24"/>
          <w:szCs w:val="24"/>
        </w:rPr>
        <w:t xml:space="preserve"> (1)</w:t>
      </w:r>
      <w:r w:rsidRPr="008A2792">
        <w:rPr>
          <w:sz w:val="24"/>
          <w:szCs w:val="24"/>
        </w:rPr>
        <w:t xml:space="preserve"> a capstone course that integrates speaking, writing and critical thinking skills with the content of the major or </w:t>
      </w:r>
      <w:r w:rsidR="007C3CE8" w:rsidRPr="008A2792">
        <w:rPr>
          <w:sz w:val="24"/>
          <w:szCs w:val="24"/>
        </w:rPr>
        <w:t xml:space="preserve">(2) </w:t>
      </w:r>
      <w:r w:rsidRPr="008A2792">
        <w:rPr>
          <w:sz w:val="24"/>
          <w:szCs w:val="24"/>
        </w:rPr>
        <w:t>an internship, practicum, or research experience with similar applied skills and integration of concepts</w:t>
      </w:r>
      <w:r w:rsidR="007C3CE8" w:rsidRPr="008A2792">
        <w:rPr>
          <w:sz w:val="24"/>
          <w:szCs w:val="24"/>
        </w:rPr>
        <w:t xml:space="preserve"> from the major</w:t>
      </w:r>
      <w:r w:rsidRPr="008A2792">
        <w:rPr>
          <w:sz w:val="24"/>
          <w:szCs w:val="24"/>
        </w:rPr>
        <w:t xml:space="preserve">. </w:t>
      </w:r>
      <w:r w:rsidR="001419CC" w:rsidRPr="008A2792">
        <w:rPr>
          <w:sz w:val="24"/>
          <w:szCs w:val="24"/>
        </w:rPr>
        <w:t xml:space="preserve">Expanded </w:t>
      </w:r>
      <w:r w:rsidRPr="008A2792">
        <w:rPr>
          <w:sz w:val="24"/>
          <w:szCs w:val="24"/>
        </w:rPr>
        <w:t xml:space="preserve">connections with entrepreneurial groups, local businesses, and other regional partners will </w:t>
      </w:r>
      <w:r w:rsidR="001419CC" w:rsidRPr="008A2792">
        <w:rPr>
          <w:sz w:val="24"/>
          <w:szCs w:val="24"/>
        </w:rPr>
        <w:t>encourage</w:t>
      </w:r>
      <w:r w:rsidRPr="008A2792">
        <w:rPr>
          <w:sz w:val="24"/>
          <w:szCs w:val="24"/>
        </w:rPr>
        <w:t xml:space="preserve"> </w:t>
      </w:r>
      <w:r w:rsidR="001419CC" w:rsidRPr="008A2792">
        <w:rPr>
          <w:sz w:val="24"/>
          <w:szCs w:val="24"/>
        </w:rPr>
        <w:t>internships and</w:t>
      </w:r>
      <w:r w:rsidRPr="008A2792">
        <w:rPr>
          <w:sz w:val="24"/>
          <w:szCs w:val="24"/>
        </w:rPr>
        <w:t xml:space="preserve"> service-learning experiences that </w:t>
      </w:r>
      <w:r w:rsidR="001419CC" w:rsidRPr="008A2792">
        <w:rPr>
          <w:sz w:val="24"/>
          <w:szCs w:val="24"/>
        </w:rPr>
        <w:t>prepare</w:t>
      </w:r>
      <w:r w:rsidRPr="008A2792">
        <w:rPr>
          <w:sz w:val="24"/>
          <w:szCs w:val="24"/>
        </w:rPr>
        <w:t xml:space="preserve"> UI undergraduates </w:t>
      </w:r>
      <w:r w:rsidR="001419CC" w:rsidRPr="008A2792">
        <w:rPr>
          <w:sz w:val="24"/>
          <w:szCs w:val="24"/>
        </w:rPr>
        <w:t>for prospective careers</w:t>
      </w:r>
      <w:r w:rsidR="007C3CE8" w:rsidRPr="008A2792">
        <w:rPr>
          <w:sz w:val="24"/>
          <w:szCs w:val="24"/>
        </w:rPr>
        <w:t>.</w:t>
      </w:r>
      <w:r w:rsidRPr="008A2792">
        <w:rPr>
          <w:sz w:val="24"/>
          <w:szCs w:val="24"/>
        </w:rPr>
        <w:t xml:space="preserve"> </w:t>
      </w:r>
    </w:p>
    <w:p w14:paraId="0D973BA6" w14:textId="77777777" w:rsidR="00341E93" w:rsidRPr="008A2792" w:rsidRDefault="00341E93" w:rsidP="00341E93">
      <w:pPr>
        <w:spacing w:after="0" w:line="240" w:lineRule="auto"/>
        <w:rPr>
          <w:sz w:val="24"/>
          <w:szCs w:val="24"/>
        </w:rPr>
      </w:pPr>
    </w:p>
    <w:p w14:paraId="637F9C5B" w14:textId="76678D00" w:rsidR="001419CC" w:rsidRPr="008A2792" w:rsidRDefault="000F3C6C" w:rsidP="00341E93">
      <w:pPr>
        <w:pStyle w:val="ListParagraph"/>
        <w:numPr>
          <w:ilvl w:val="0"/>
          <w:numId w:val="5"/>
        </w:numPr>
        <w:spacing w:after="0" w:line="240" w:lineRule="auto"/>
        <w:ind w:left="360"/>
        <w:rPr>
          <w:b/>
          <w:bCs/>
          <w:sz w:val="24"/>
          <w:szCs w:val="24"/>
        </w:rPr>
      </w:pPr>
      <w:r w:rsidRPr="008A2792">
        <w:rPr>
          <w:b/>
          <w:bCs/>
          <w:sz w:val="24"/>
          <w:szCs w:val="24"/>
        </w:rPr>
        <w:t xml:space="preserve">Something Old, Something New - </w:t>
      </w:r>
      <w:r w:rsidR="001419CC" w:rsidRPr="008A2792">
        <w:rPr>
          <w:b/>
          <w:bCs/>
          <w:sz w:val="24"/>
          <w:szCs w:val="24"/>
        </w:rPr>
        <w:t>The UI Elder Institute</w:t>
      </w:r>
      <w:r w:rsidR="00AE2C74" w:rsidRPr="008A2792">
        <w:rPr>
          <w:rStyle w:val="FootnoteReference"/>
          <w:sz w:val="24"/>
          <w:szCs w:val="24"/>
        </w:rPr>
        <w:footnoteReference w:id="5"/>
      </w:r>
    </w:p>
    <w:p w14:paraId="0ED17FEE" w14:textId="3B7529ED" w:rsidR="00E831A7" w:rsidRPr="008A2792" w:rsidRDefault="00CC5CD4" w:rsidP="000D6C41">
      <w:pPr>
        <w:spacing w:after="0" w:line="240" w:lineRule="auto"/>
        <w:rPr>
          <w:sz w:val="24"/>
          <w:szCs w:val="24"/>
        </w:rPr>
      </w:pPr>
      <w:r>
        <w:rPr>
          <w:sz w:val="24"/>
          <w:szCs w:val="24"/>
        </w:rPr>
        <w:t xml:space="preserve">An additional idea proposed is for a </w:t>
      </w:r>
      <w:r w:rsidR="007C3CE8" w:rsidRPr="008A2792">
        <w:rPr>
          <w:sz w:val="24"/>
          <w:szCs w:val="24"/>
        </w:rPr>
        <w:t>UI Elder Institute</w:t>
      </w:r>
      <w:r>
        <w:rPr>
          <w:sz w:val="24"/>
          <w:szCs w:val="24"/>
        </w:rPr>
        <w:t xml:space="preserve"> to</w:t>
      </w:r>
      <w:r w:rsidR="007C3CE8" w:rsidRPr="008A2792">
        <w:rPr>
          <w:sz w:val="24"/>
          <w:szCs w:val="24"/>
        </w:rPr>
        <w:t xml:space="preserve"> </w:t>
      </w:r>
      <w:r w:rsidR="00256F32">
        <w:rPr>
          <w:sz w:val="24"/>
          <w:szCs w:val="24"/>
        </w:rPr>
        <w:t xml:space="preserve">emulate </w:t>
      </w:r>
      <w:r w:rsidR="007C3CE8" w:rsidRPr="008A2792">
        <w:rPr>
          <w:sz w:val="24"/>
          <w:szCs w:val="24"/>
        </w:rPr>
        <w:t xml:space="preserve">the </w:t>
      </w:r>
      <w:proofErr w:type="spellStart"/>
      <w:r w:rsidR="007C3CE8" w:rsidRPr="008A2792">
        <w:rPr>
          <w:sz w:val="24"/>
          <w:szCs w:val="24"/>
        </w:rPr>
        <w:t>Osher</w:t>
      </w:r>
      <w:proofErr w:type="spellEnd"/>
      <w:r w:rsidR="007C3CE8" w:rsidRPr="008A2792">
        <w:rPr>
          <w:sz w:val="24"/>
          <w:szCs w:val="24"/>
        </w:rPr>
        <w:t xml:space="preserve"> Lifelong Learning Institute Program</w:t>
      </w:r>
      <w:r w:rsidR="007C3CE8" w:rsidRPr="008A2792">
        <w:rPr>
          <w:rStyle w:val="FootnoteReference"/>
          <w:sz w:val="24"/>
          <w:szCs w:val="24"/>
        </w:rPr>
        <w:footnoteReference w:id="6"/>
      </w:r>
      <w:r w:rsidR="007C3CE8" w:rsidRPr="008A2792">
        <w:rPr>
          <w:sz w:val="24"/>
          <w:szCs w:val="24"/>
        </w:rPr>
        <w:t xml:space="preserve">, currently in place at 120 </w:t>
      </w:r>
      <w:r>
        <w:rPr>
          <w:sz w:val="24"/>
          <w:szCs w:val="24"/>
        </w:rPr>
        <w:t xml:space="preserve">U.S. colleges and universities. </w:t>
      </w:r>
      <w:r w:rsidR="007C3CE8" w:rsidRPr="008A2792">
        <w:rPr>
          <w:sz w:val="24"/>
          <w:szCs w:val="24"/>
        </w:rPr>
        <w:t>The UI Elder Institute would offer non-credit educational programs for adults age</w:t>
      </w:r>
      <w:r w:rsidR="002F27AE" w:rsidRPr="008A2792">
        <w:rPr>
          <w:sz w:val="24"/>
          <w:szCs w:val="24"/>
        </w:rPr>
        <w:t xml:space="preserve">d </w:t>
      </w:r>
      <w:r w:rsidR="007C3CE8" w:rsidRPr="008A2792">
        <w:rPr>
          <w:sz w:val="24"/>
          <w:szCs w:val="24"/>
        </w:rPr>
        <w:t>50 and older.</w:t>
      </w:r>
      <w:r w:rsidR="002F27AE" w:rsidRPr="008A2792">
        <w:rPr>
          <w:sz w:val="24"/>
          <w:szCs w:val="24"/>
        </w:rPr>
        <w:t xml:space="preserve"> These courses would focus on the excitement of learning and discovering and would emp</w:t>
      </w:r>
      <w:r w:rsidR="00341E93" w:rsidRPr="008A2792">
        <w:rPr>
          <w:sz w:val="24"/>
          <w:szCs w:val="24"/>
        </w:rPr>
        <w:t>h</w:t>
      </w:r>
      <w:r w:rsidR="002F27AE" w:rsidRPr="008A2792">
        <w:rPr>
          <w:sz w:val="24"/>
          <w:szCs w:val="24"/>
        </w:rPr>
        <w:t>a</w:t>
      </w:r>
      <w:r w:rsidR="00341E93" w:rsidRPr="008A2792">
        <w:rPr>
          <w:sz w:val="24"/>
          <w:szCs w:val="24"/>
        </w:rPr>
        <w:t>size</w:t>
      </w:r>
      <w:r w:rsidR="002F27AE" w:rsidRPr="008A2792">
        <w:rPr>
          <w:sz w:val="24"/>
          <w:szCs w:val="24"/>
        </w:rPr>
        <w:t xml:space="preserve"> civic engagement. Course leaders would com</w:t>
      </w:r>
      <w:bookmarkStart w:id="0" w:name="_GoBack"/>
      <w:bookmarkEnd w:id="0"/>
      <w:r w:rsidR="002F27AE" w:rsidRPr="008A2792">
        <w:rPr>
          <w:sz w:val="24"/>
          <w:szCs w:val="24"/>
        </w:rPr>
        <w:t xml:space="preserve">e from a variety of backgrounds; </w:t>
      </w:r>
      <w:r w:rsidR="008A2792">
        <w:rPr>
          <w:sz w:val="24"/>
          <w:szCs w:val="24"/>
        </w:rPr>
        <w:t xml:space="preserve">they might be </w:t>
      </w:r>
      <w:r w:rsidR="002F27AE" w:rsidRPr="008A2792">
        <w:rPr>
          <w:sz w:val="24"/>
          <w:szCs w:val="24"/>
        </w:rPr>
        <w:t xml:space="preserve">UI emeritus faculty </w:t>
      </w:r>
      <w:r w:rsidR="008A2792">
        <w:rPr>
          <w:sz w:val="24"/>
          <w:szCs w:val="24"/>
        </w:rPr>
        <w:t xml:space="preserve">or </w:t>
      </w:r>
      <w:r w:rsidR="002F27AE" w:rsidRPr="008A2792">
        <w:rPr>
          <w:sz w:val="24"/>
          <w:szCs w:val="24"/>
        </w:rPr>
        <w:t xml:space="preserve">community members with an expertise in a given subject. The UI Elder Institute would </w:t>
      </w:r>
      <w:r>
        <w:rPr>
          <w:sz w:val="24"/>
          <w:szCs w:val="24"/>
        </w:rPr>
        <w:t>foster intergenerational mentoring and</w:t>
      </w:r>
      <w:r w:rsidR="00341E93" w:rsidRPr="008A2792">
        <w:rPr>
          <w:sz w:val="24"/>
          <w:szCs w:val="24"/>
        </w:rPr>
        <w:t xml:space="preserve"> </w:t>
      </w:r>
      <w:r w:rsidR="002F27AE" w:rsidRPr="008A2792">
        <w:rPr>
          <w:sz w:val="24"/>
          <w:szCs w:val="24"/>
        </w:rPr>
        <w:t xml:space="preserve">also </w:t>
      </w:r>
      <w:r w:rsidR="00716418" w:rsidRPr="008A2792">
        <w:rPr>
          <w:sz w:val="24"/>
          <w:szCs w:val="24"/>
        </w:rPr>
        <w:t xml:space="preserve">fulfill one of the goals of the </w:t>
      </w:r>
      <w:r w:rsidR="00AE2C74" w:rsidRPr="008A2792">
        <w:rPr>
          <w:sz w:val="24"/>
          <w:szCs w:val="24"/>
        </w:rPr>
        <w:t xml:space="preserve">public university in serving </w:t>
      </w:r>
      <w:r w:rsidR="00716418" w:rsidRPr="008A2792">
        <w:rPr>
          <w:sz w:val="24"/>
          <w:szCs w:val="24"/>
        </w:rPr>
        <w:t xml:space="preserve">all members of the state of Iowa. </w:t>
      </w:r>
    </w:p>
    <w:sectPr w:rsidR="00E831A7" w:rsidRPr="008A2792" w:rsidSect="00341E93">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30C63" w16cid:durableId="1DB0702A"/>
  <w16cid:commentId w16cid:paraId="5E438988" w16cid:durableId="1DB06F73"/>
  <w16cid:commentId w16cid:paraId="0829C807" w16cid:durableId="1DB06E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08699" w14:textId="77777777" w:rsidR="00605367" w:rsidRDefault="00605367" w:rsidP="000D21B9">
      <w:pPr>
        <w:spacing w:after="0" w:line="240" w:lineRule="auto"/>
      </w:pPr>
      <w:r>
        <w:separator/>
      </w:r>
    </w:p>
  </w:endnote>
  <w:endnote w:type="continuationSeparator" w:id="0">
    <w:p w14:paraId="2972C545" w14:textId="77777777" w:rsidR="00605367" w:rsidRDefault="00605367" w:rsidP="000D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900BD" w14:textId="77777777" w:rsidR="00605367" w:rsidRDefault="00605367" w:rsidP="000D21B9">
      <w:pPr>
        <w:spacing w:after="0" w:line="240" w:lineRule="auto"/>
      </w:pPr>
      <w:r>
        <w:separator/>
      </w:r>
    </w:p>
  </w:footnote>
  <w:footnote w:type="continuationSeparator" w:id="0">
    <w:p w14:paraId="48B3DD05" w14:textId="77777777" w:rsidR="00605367" w:rsidRDefault="00605367" w:rsidP="000D21B9">
      <w:pPr>
        <w:spacing w:after="0" w:line="240" w:lineRule="auto"/>
      </w:pPr>
      <w:r>
        <w:continuationSeparator/>
      </w:r>
    </w:p>
  </w:footnote>
  <w:footnote w:id="1">
    <w:p w14:paraId="1FCC9FEA" w14:textId="3341B414" w:rsidR="00605367" w:rsidRDefault="00605367">
      <w:pPr>
        <w:pStyle w:val="FootnoteText"/>
      </w:pPr>
      <w:r>
        <w:rPr>
          <w:rStyle w:val="FootnoteReference"/>
        </w:rPr>
        <w:footnoteRef/>
      </w:r>
      <w:r>
        <w:t xml:space="preserve"> Aligned with UI Strategic Plan Student Success Goals #1&amp;3 (p.11&amp;13) and BOR SP Objectives 1.1, 1.2, 2.4, &amp; 3.2. </w:t>
      </w:r>
    </w:p>
  </w:footnote>
  <w:footnote w:id="2">
    <w:p w14:paraId="19D6D254" w14:textId="78DF2776" w:rsidR="00605367" w:rsidRDefault="00605367" w:rsidP="00A94A5F">
      <w:pPr>
        <w:pStyle w:val="FootnoteText"/>
      </w:pPr>
      <w:r>
        <w:rPr>
          <w:rStyle w:val="FootnoteReference"/>
        </w:rPr>
        <w:footnoteRef/>
      </w:r>
      <w:r>
        <w:t xml:space="preserve"> </w:t>
      </w:r>
      <w:r w:rsidRPr="00341E93">
        <w:t>A recent survey showed that there are 20,000 “student visits” per week to the first floor of EPB</w:t>
      </w:r>
      <w:r>
        <w:t>.</w:t>
      </w:r>
    </w:p>
  </w:footnote>
  <w:footnote w:id="3">
    <w:p w14:paraId="30666F41" w14:textId="590A707C" w:rsidR="00605367" w:rsidRDefault="00605367" w:rsidP="00AE2C74">
      <w:pPr>
        <w:pStyle w:val="FootnoteText"/>
      </w:pPr>
      <w:r>
        <w:rPr>
          <w:rStyle w:val="FootnoteReference"/>
        </w:rPr>
        <w:footnoteRef/>
      </w:r>
      <w:r>
        <w:t xml:space="preserve"> Aligned with UI Strategic Plan Student Success Goal #5 (p.14) and BOR SP Objectives 1.1 &amp; 1.3. </w:t>
      </w:r>
    </w:p>
  </w:footnote>
  <w:footnote w:id="4">
    <w:p w14:paraId="1E009B2C" w14:textId="77777777" w:rsidR="00605367" w:rsidRDefault="00605367" w:rsidP="00AE2C74">
      <w:pPr>
        <w:pStyle w:val="FootnoteText"/>
        <w:contextualSpacing/>
      </w:pPr>
      <w:r>
        <w:rPr>
          <w:rStyle w:val="FootnoteReference"/>
        </w:rPr>
        <w:footnoteRef/>
      </w:r>
      <w:r>
        <w:t xml:space="preserve"> High-impact practices (HIPs), capstone courses, and other activities that promote career-readiness are aligned with </w:t>
      </w:r>
      <w:r w:rsidRPr="001419CC">
        <w:t>UI Strategic Plan Student Success Goal #</w:t>
      </w:r>
      <w:r>
        <w:t>2</w:t>
      </w:r>
      <w:r w:rsidRPr="001419CC">
        <w:t xml:space="preserve"> (</w:t>
      </w:r>
      <w:r>
        <w:t>p.12</w:t>
      </w:r>
      <w:r w:rsidRPr="001419CC">
        <w:t xml:space="preserve">) and BOR SP Objectives 1.1 &amp; 1.3. </w:t>
      </w:r>
    </w:p>
  </w:footnote>
  <w:footnote w:id="5">
    <w:p w14:paraId="7D99226C" w14:textId="77777777" w:rsidR="00605367" w:rsidRDefault="00605367" w:rsidP="00AE2C74">
      <w:pPr>
        <w:pStyle w:val="FootnoteText"/>
        <w:contextualSpacing/>
      </w:pPr>
      <w:r>
        <w:rPr>
          <w:rStyle w:val="FootnoteReference"/>
        </w:rPr>
        <w:footnoteRef/>
      </w:r>
      <w:r>
        <w:t xml:space="preserve"> Experiences that promote societal responsibility, community engagement, and an inclusive campus culture are aligned with </w:t>
      </w:r>
      <w:r w:rsidRPr="001419CC">
        <w:t>UI Strategic Plan Student Success Goal</w:t>
      </w:r>
      <w:r>
        <w:t>s</w:t>
      </w:r>
      <w:r w:rsidRPr="001419CC">
        <w:t xml:space="preserve"> #</w:t>
      </w:r>
      <w:r>
        <w:t>1&amp;2</w:t>
      </w:r>
      <w:r w:rsidRPr="001419CC">
        <w:t xml:space="preserve"> (</w:t>
      </w:r>
      <w:r>
        <w:t>p.11&amp;12</w:t>
      </w:r>
      <w:r w:rsidRPr="001419CC">
        <w:t>) and BOR SP Objectives 1.1 &amp; 1.3.</w:t>
      </w:r>
    </w:p>
  </w:footnote>
  <w:footnote w:id="6">
    <w:p w14:paraId="6BA58675" w14:textId="56252DFB" w:rsidR="00605367" w:rsidRDefault="00605367">
      <w:pPr>
        <w:pStyle w:val="FootnoteText"/>
      </w:pPr>
      <w:r>
        <w:rPr>
          <w:rStyle w:val="FootnoteReference"/>
        </w:rPr>
        <w:footnoteRef/>
      </w:r>
      <w:r>
        <w:t xml:space="preserve"> </w:t>
      </w:r>
      <w:r w:rsidRPr="007C3CE8">
        <w:t>https://www.osherfoundation.org/index.php?programs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06E8"/>
    <w:multiLevelType w:val="hybridMultilevel"/>
    <w:tmpl w:val="56A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33DF"/>
    <w:multiLevelType w:val="hybridMultilevel"/>
    <w:tmpl w:val="4252A014"/>
    <w:lvl w:ilvl="0" w:tplc="AC466882">
      <w:start w:val="1"/>
      <w:numFmt w:val="bullet"/>
      <w:lvlText w:val=""/>
      <w:lvlJc w:val="left"/>
      <w:pPr>
        <w:ind w:left="720" w:hanging="360"/>
      </w:pPr>
      <w:rPr>
        <w:rFonts w:ascii="Symbol" w:hAnsi="Symbol" w:hint="default"/>
      </w:rPr>
    </w:lvl>
    <w:lvl w:ilvl="1" w:tplc="B1A6BC8C">
      <w:start w:val="1"/>
      <w:numFmt w:val="bullet"/>
      <w:lvlText w:val="o"/>
      <w:lvlJc w:val="left"/>
      <w:pPr>
        <w:ind w:left="1440" w:hanging="360"/>
      </w:pPr>
      <w:rPr>
        <w:rFonts w:ascii="Courier New" w:hAnsi="Courier New" w:hint="default"/>
      </w:rPr>
    </w:lvl>
    <w:lvl w:ilvl="2" w:tplc="CC26750C">
      <w:start w:val="1"/>
      <w:numFmt w:val="bullet"/>
      <w:lvlText w:val=""/>
      <w:lvlJc w:val="left"/>
      <w:pPr>
        <w:ind w:left="2160" w:hanging="360"/>
      </w:pPr>
      <w:rPr>
        <w:rFonts w:ascii="Wingdings" w:hAnsi="Wingdings" w:hint="default"/>
      </w:rPr>
    </w:lvl>
    <w:lvl w:ilvl="3" w:tplc="E3AAA068">
      <w:start w:val="1"/>
      <w:numFmt w:val="bullet"/>
      <w:lvlText w:val=""/>
      <w:lvlJc w:val="left"/>
      <w:pPr>
        <w:ind w:left="2880" w:hanging="360"/>
      </w:pPr>
      <w:rPr>
        <w:rFonts w:ascii="Symbol" w:hAnsi="Symbol" w:hint="default"/>
      </w:rPr>
    </w:lvl>
    <w:lvl w:ilvl="4" w:tplc="666A5276">
      <w:start w:val="1"/>
      <w:numFmt w:val="bullet"/>
      <w:lvlText w:val="o"/>
      <w:lvlJc w:val="left"/>
      <w:pPr>
        <w:ind w:left="3600" w:hanging="360"/>
      </w:pPr>
      <w:rPr>
        <w:rFonts w:ascii="Courier New" w:hAnsi="Courier New" w:hint="default"/>
      </w:rPr>
    </w:lvl>
    <w:lvl w:ilvl="5" w:tplc="CB0868D0">
      <w:start w:val="1"/>
      <w:numFmt w:val="bullet"/>
      <w:lvlText w:val=""/>
      <w:lvlJc w:val="left"/>
      <w:pPr>
        <w:ind w:left="4320" w:hanging="360"/>
      </w:pPr>
      <w:rPr>
        <w:rFonts w:ascii="Wingdings" w:hAnsi="Wingdings" w:hint="default"/>
      </w:rPr>
    </w:lvl>
    <w:lvl w:ilvl="6" w:tplc="93849CB4">
      <w:start w:val="1"/>
      <w:numFmt w:val="bullet"/>
      <w:lvlText w:val=""/>
      <w:lvlJc w:val="left"/>
      <w:pPr>
        <w:ind w:left="5040" w:hanging="360"/>
      </w:pPr>
      <w:rPr>
        <w:rFonts w:ascii="Symbol" w:hAnsi="Symbol" w:hint="default"/>
      </w:rPr>
    </w:lvl>
    <w:lvl w:ilvl="7" w:tplc="5644EE8C">
      <w:start w:val="1"/>
      <w:numFmt w:val="bullet"/>
      <w:lvlText w:val="o"/>
      <w:lvlJc w:val="left"/>
      <w:pPr>
        <w:ind w:left="5760" w:hanging="360"/>
      </w:pPr>
      <w:rPr>
        <w:rFonts w:ascii="Courier New" w:hAnsi="Courier New" w:hint="default"/>
      </w:rPr>
    </w:lvl>
    <w:lvl w:ilvl="8" w:tplc="153E4EAC">
      <w:start w:val="1"/>
      <w:numFmt w:val="bullet"/>
      <w:lvlText w:val=""/>
      <w:lvlJc w:val="left"/>
      <w:pPr>
        <w:ind w:left="6480" w:hanging="360"/>
      </w:pPr>
      <w:rPr>
        <w:rFonts w:ascii="Wingdings" w:hAnsi="Wingdings" w:hint="default"/>
      </w:rPr>
    </w:lvl>
  </w:abstractNum>
  <w:abstractNum w:abstractNumId="4" w15:restartNumberingAfterBreak="0">
    <w:nsid w:val="6F1A01F1"/>
    <w:multiLevelType w:val="hybridMultilevel"/>
    <w:tmpl w:val="56BAB760"/>
    <w:lvl w:ilvl="0" w:tplc="685E3CAE">
      <w:start w:val="1"/>
      <w:numFmt w:val="bullet"/>
      <w:lvlText w:val=""/>
      <w:lvlJc w:val="left"/>
      <w:pPr>
        <w:ind w:left="720" w:hanging="360"/>
      </w:pPr>
      <w:rPr>
        <w:rFonts w:ascii="Symbol" w:hAnsi="Symbol" w:hint="default"/>
      </w:rPr>
    </w:lvl>
    <w:lvl w:ilvl="1" w:tplc="6BC29264">
      <w:start w:val="1"/>
      <w:numFmt w:val="bullet"/>
      <w:lvlText w:val="o"/>
      <w:lvlJc w:val="left"/>
      <w:pPr>
        <w:ind w:left="1440" w:hanging="360"/>
      </w:pPr>
      <w:rPr>
        <w:rFonts w:ascii="Courier New" w:hAnsi="Courier New" w:hint="default"/>
      </w:rPr>
    </w:lvl>
    <w:lvl w:ilvl="2" w:tplc="AB6CC252">
      <w:start w:val="1"/>
      <w:numFmt w:val="bullet"/>
      <w:lvlText w:val=""/>
      <w:lvlJc w:val="left"/>
      <w:pPr>
        <w:ind w:left="2160" w:hanging="360"/>
      </w:pPr>
      <w:rPr>
        <w:rFonts w:ascii="Wingdings" w:hAnsi="Wingdings" w:hint="default"/>
      </w:rPr>
    </w:lvl>
    <w:lvl w:ilvl="3" w:tplc="506CB808">
      <w:start w:val="1"/>
      <w:numFmt w:val="bullet"/>
      <w:lvlText w:val=""/>
      <w:lvlJc w:val="left"/>
      <w:pPr>
        <w:ind w:left="2880" w:hanging="360"/>
      </w:pPr>
      <w:rPr>
        <w:rFonts w:ascii="Symbol" w:hAnsi="Symbol" w:hint="default"/>
      </w:rPr>
    </w:lvl>
    <w:lvl w:ilvl="4" w:tplc="833C2EB4">
      <w:start w:val="1"/>
      <w:numFmt w:val="bullet"/>
      <w:lvlText w:val="o"/>
      <w:lvlJc w:val="left"/>
      <w:pPr>
        <w:ind w:left="3600" w:hanging="360"/>
      </w:pPr>
      <w:rPr>
        <w:rFonts w:ascii="Courier New" w:hAnsi="Courier New" w:hint="default"/>
      </w:rPr>
    </w:lvl>
    <w:lvl w:ilvl="5" w:tplc="1D86FB12">
      <w:start w:val="1"/>
      <w:numFmt w:val="bullet"/>
      <w:lvlText w:val=""/>
      <w:lvlJc w:val="left"/>
      <w:pPr>
        <w:ind w:left="4320" w:hanging="360"/>
      </w:pPr>
      <w:rPr>
        <w:rFonts w:ascii="Wingdings" w:hAnsi="Wingdings" w:hint="default"/>
      </w:rPr>
    </w:lvl>
    <w:lvl w:ilvl="6" w:tplc="78BAF296">
      <w:start w:val="1"/>
      <w:numFmt w:val="bullet"/>
      <w:lvlText w:val=""/>
      <w:lvlJc w:val="left"/>
      <w:pPr>
        <w:ind w:left="5040" w:hanging="360"/>
      </w:pPr>
      <w:rPr>
        <w:rFonts w:ascii="Symbol" w:hAnsi="Symbol" w:hint="default"/>
      </w:rPr>
    </w:lvl>
    <w:lvl w:ilvl="7" w:tplc="FA0C4488">
      <w:start w:val="1"/>
      <w:numFmt w:val="bullet"/>
      <w:lvlText w:val="o"/>
      <w:lvlJc w:val="left"/>
      <w:pPr>
        <w:ind w:left="5760" w:hanging="360"/>
      </w:pPr>
      <w:rPr>
        <w:rFonts w:ascii="Courier New" w:hAnsi="Courier New" w:hint="default"/>
      </w:rPr>
    </w:lvl>
    <w:lvl w:ilvl="8" w:tplc="725EF664">
      <w:start w:val="1"/>
      <w:numFmt w:val="bullet"/>
      <w:lvlText w:val=""/>
      <w:lvlJc w:val="left"/>
      <w:pPr>
        <w:ind w:left="6480" w:hanging="360"/>
      </w:pPr>
      <w:rPr>
        <w:rFonts w:ascii="Wingdings" w:hAnsi="Wingdings" w:hint="default"/>
      </w:rPr>
    </w:lvl>
  </w:abstractNum>
  <w:abstractNum w:abstractNumId="5" w15:restartNumberingAfterBreak="0">
    <w:nsid w:val="713A7E5E"/>
    <w:multiLevelType w:val="hybridMultilevel"/>
    <w:tmpl w:val="5E986E08"/>
    <w:lvl w:ilvl="0" w:tplc="91EC8F68">
      <w:start w:val="1"/>
      <w:numFmt w:val="bullet"/>
      <w:lvlText w:val=""/>
      <w:lvlJc w:val="left"/>
      <w:pPr>
        <w:ind w:left="720" w:hanging="360"/>
      </w:pPr>
      <w:rPr>
        <w:rFonts w:ascii="Symbol" w:hAnsi="Symbol" w:hint="default"/>
      </w:rPr>
    </w:lvl>
    <w:lvl w:ilvl="1" w:tplc="2AF6966A">
      <w:start w:val="1"/>
      <w:numFmt w:val="bullet"/>
      <w:lvlText w:val="o"/>
      <w:lvlJc w:val="left"/>
      <w:pPr>
        <w:ind w:left="1440" w:hanging="360"/>
      </w:pPr>
      <w:rPr>
        <w:rFonts w:ascii="Courier New" w:hAnsi="Courier New" w:hint="default"/>
      </w:rPr>
    </w:lvl>
    <w:lvl w:ilvl="2" w:tplc="FEC0CD8C">
      <w:start w:val="1"/>
      <w:numFmt w:val="bullet"/>
      <w:lvlText w:val=""/>
      <w:lvlJc w:val="left"/>
      <w:pPr>
        <w:ind w:left="2160" w:hanging="360"/>
      </w:pPr>
      <w:rPr>
        <w:rFonts w:ascii="Wingdings" w:hAnsi="Wingdings" w:hint="default"/>
      </w:rPr>
    </w:lvl>
    <w:lvl w:ilvl="3" w:tplc="0FD2385E">
      <w:start w:val="1"/>
      <w:numFmt w:val="bullet"/>
      <w:lvlText w:val=""/>
      <w:lvlJc w:val="left"/>
      <w:pPr>
        <w:ind w:left="2880" w:hanging="360"/>
      </w:pPr>
      <w:rPr>
        <w:rFonts w:ascii="Symbol" w:hAnsi="Symbol" w:hint="default"/>
      </w:rPr>
    </w:lvl>
    <w:lvl w:ilvl="4" w:tplc="CFE63554">
      <w:start w:val="1"/>
      <w:numFmt w:val="bullet"/>
      <w:lvlText w:val="o"/>
      <w:lvlJc w:val="left"/>
      <w:pPr>
        <w:ind w:left="3600" w:hanging="360"/>
      </w:pPr>
      <w:rPr>
        <w:rFonts w:ascii="Courier New" w:hAnsi="Courier New" w:hint="default"/>
      </w:rPr>
    </w:lvl>
    <w:lvl w:ilvl="5" w:tplc="26563B4E">
      <w:start w:val="1"/>
      <w:numFmt w:val="bullet"/>
      <w:lvlText w:val=""/>
      <w:lvlJc w:val="left"/>
      <w:pPr>
        <w:ind w:left="4320" w:hanging="360"/>
      </w:pPr>
      <w:rPr>
        <w:rFonts w:ascii="Wingdings" w:hAnsi="Wingdings" w:hint="default"/>
      </w:rPr>
    </w:lvl>
    <w:lvl w:ilvl="6" w:tplc="AF90CBC8">
      <w:start w:val="1"/>
      <w:numFmt w:val="bullet"/>
      <w:lvlText w:val=""/>
      <w:lvlJc w:val="left"/>
      <w:pPr>
        <w:ind w:left="5040" w:hanging="360"/>
      </w:pPr>
      <w:rPr>
        <w:rFonts w:ascii="Symbol" w:hAnsi="Symbol" w:hint="default"/>
      </w:rPr>
    </w:lvl>
    <w:lvl w:ilvl="7" w:tplc="5156DBA4">
      <w:start w:val="1"/>
      <w:numFmt w:val="bullet"/>
      <w:lvlText w:val="o"/>
      <w:lvlJc w:val="left"/>
      <w:pPr>
        <w:ind w:left="5760" w:hanging="360"/>
      </w:pPr>
      <w:rPr>
        <w:rFonts w:ascii="Courier New" w:hAnsi="Courier New" w:hint="default"/>
      </w:rPr>
    </w:lvl>
    <w:lvl w:ilvl="8" w:tplc="B17EA404">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92"/>
    <w:rsid w:val="000070EC"/>
    <w:rsid w:val="00081855"/>
    <w:rsid w:val="000B4ABF"/>
    <w:rsid w:val="000D21B9"/>
    <w:rsid w:val="000D6C41"/>
    <w:rsid w:val="000F3C6C"/>
    <w:rsid w:val="000F5D15"/>
    <w:rsid w:val="0011410C"/>
    <w:rsid w:val="001419CC"/>
    <w:rsid w:val="001545BF"/>
    <w:rsid w:val="001946CC"/>
    <w:rsid w:val="001B070A"/>
    <w:rsid w:val="001E36E4"/>
    <w:rsid w:val="001E48F1"/>
    <w:rsid w:val="00256F32"/>
    <w:rsid w:val="00282060"/>
    <w:rsid w:val="002843E8"/>
    <w:rsid w:val="002C4A7A"/>
    <w:rsid w:val="002D5141"/>
    <w:rsid w:val="002F27AE"/>
    <w:rsid w:val="00341E93"/>
    <w:rsid w:val="0035082D"/>
    <w:rsid w:val="003A22A0"/>
    <w:rsid w:val="0040372C"/>
    <w:rsid w:val="00410339"/>
    <w:rsid w:val="00426A28"/>
    <w:rsid w:val="00460BB7"/>
    <w:rsid w:val="00466A83"/>
    <w:rsid w:val="00484735"/>
    <w:rsid w:val="004874AB"/>
    <w:rsid w:val="004877BA"/>
    <w:rsid w:val="0051216A"/>
    <w:rsid w:val="0058EDFA"/>
    <w:rsid w:val="0059669D"/>
    <w:rsid w:val="005F0BD4"/>
    <w:rsid w:val="00600ADE"/>
    <w:rsid w:val="00605367"/>
    <w:rsid w:val="00642EFA"/>
    <w:rsid w:val="0065570B"/>
    <w:rsid w:val="006A2D64"/>
    <w:rsid w:val="00716418"/>
    <w:rsid w:val="00762FF3"/>
    <w:rsid w:val="00767584"/>
    <w:rsid w:val="007B2396"/>
    <w:rsid w:val="007C3CE8"/>
    <w:rsid w:val="007D4A3D"/>
    <w:rsid w:val="00870996"/>
    <w:rsid w:val="008A2792"/>
    <w:rsid w:val="008C3AC3"/>
    <w:rsid w:val="008F7781"/>
    <w:rsid w:val="00906A72"/>
    <w:rsid w:val="009F203D"/>
    <w:rsid w:val="00A27FCB"/>
    <w:rsid w:val="00A71735"/>
    <w:rsid w:val="00A94A5F"/>
    <w:rsid w:val="00AE2C74"/>
    <w:rsid w:val="00AF5B25"/>
    <w:rsid w:val="00B01241"/>
    <w:rsid w:val="00C061DC"/>
    <w:rsid w:val="00C12B92"/>
    <w:rsid w:val="00C22EED"/>
    <w:rsid w:val="00C368EF"/>
    <w:rsid w:val="00CC5CD4"/>
    <w:rsid w:val="00CF3C21"/>
    <w:rsid w:val="00D1514B"/>
    <w:rsid w:val="00D202F8"/>
    <w:rsid w:val="00D323A2"/>
    <w:rsid w:val="00D624AB"/>
    <w:rsid w:val="00D923E3"/>
    <w:rsid w:val="00DB3087"/>
    <w:rsid w:val="00DD39EC"/>
    <w:rsid w:val="00DE6F7F"/>
    <w:rsid w:val="00E044D2"/>
    <w:rsid w:val="00E27CEA"/>
    <w:rsid w:val="00E6374E"/>
    <w:rsid w:val="00E831A7"/>
    <w:rsid w:val="00E86A58"/>
    <w:rsid w:val="00F60A16"/>
    <w:rsid w:val="00F6215C"/>
    <w:rsid w:val="00F956F5"/>
    <w:rsid w:val="00FC4E4D"/>
    <w:rsid w:val="00FD0036"/>
    <w:rsid w:val="0190693C"/>
    <w:rsid w:val="03F51770"/>
    <w:rsid w:val="06E67EE2"/>
    <w:rsid w:val="07251CDD"/>
    <w:rsid w:val="0766296F"/>
    <w:rsid w:val="07867887"/>
    <w:rsid w:val="078B586F"/>
    <w:rsid w:val="07DA41D5"/>
    <w:rsid w:val="083B557E"/>
    <w:rsid w:val="090B1E24"/>
    <w:rsid w:val="0AF921DE"/>
    <w:rsid w:val="0FE1D7D8"/>
    <w:rsid w:val="10631B95"/>
    <w:rsid w:val="10FAF4E3"/>
    <w:rsid w:val="11F589DD"/>
    <w:rsid w:val="12BD2A4E"/>
    <w:rsid w:val="12FE0888"/>
    <w:rsid w:val="151B3731"/>
    <w:rsid w:val="173D5370"/>
    <w:rsid w:val="17BE633C"/>
    <w:rsid w:val="1C622C9C"/>
    <w:rsid w:val="1D232B1D"/>
    <w:rsid w:val="1DC90542"/>
    <w:rsid w:val="1F2D504D"/>
    <w:rsid w:val="1F7FEAAB"/>
    <w:rsid w:val="1FF7B048"/>
    <w:rsid w:val="23025388"/>
    <w:rsid w:val="261A5653"/>
    <w:rsid w:val="275DA71A"/>
    <w:rsid w:val="2D150BB7"/>
    <w:rsid w:val="2E8DAC14"/>
    <w:rsid w:val="31A63DDA"/>
    <w:rsid w:val="33B38EF4"/>
    <w:rsid w:val="34368DC9"/>
    <w:rsid w:val="34737CA7"/>
    <w:rsid w:val="35731B81"/>
    <w:rsid w:val="37059D96"/>
    <w:rsid w:val="374A2546"/>
    <w:rsid w:val="37D2D8A1"/>
    <w:rsid w:val="38E24E4C"/>
    <w:rsid w:val="390E4517"/>
    <w:rsid w:val="39577105"/>
    <w:rsid w:val="3B3BFB74"/>
    <w:rsid w:val="3D7D8B56"/>
    <w:rsid w:val="3E184D06"/>
    <w:rsid w:val="3E38D76C"/>
    <w:rsid w:val="3E421A25"/>
    <w:rsid w:val="3E67FFFD"/>
    <w:rsid w:val="3E95A8C4"/>
    <w:rsid w:val="41196491"/>
    <w:rsid w:val="414C3E33"/>
    <w:rsid w:val="445ECBE3"/>
    <w:rsid w:val="453763A3"/>
    <w:rsid w:val="464170E6"/>
    <w:rsid w:val="46B5A274"/>
    <w:rsid w:val="4C1D2F3A"/>
    <w:rsid w:val="4E88518C"/>
    <w:rsid w:val="4F826F8E"/>
    <w:rsid w:val="515FE872"/>
    <w:rsid w:val="51DEC39E"/>
    <w:rsid w:val="52BE3E35"/>
    <w:rsid w:val="52D7F277"/>
    <w:rsid w:val="534EEAA9"/>
    <w:rsid w:val="54904534"/>
    <w:rsid w:val="558B9AA3"/>
    <w:rsid w:val="59283079"/>
    <w:rsid w:val="5B122CED"/>
    <w:rsid w:val="5D62CB34"/>
    <w:rsid w:val="5D663861"/>
    <w:rsid w:val="5F697ABA"/>
    <w:rsid w:val="5FDDBC1D"/>
    <w:rsid w:val="6271DA62"/>
    <w:rsid w:val="62E7092F"/>
    <w:rsid w:val="631416A4"/>
    <w:rsid w:val="63AE0373"/>
    <w:rsid w:val="66A5A574"/>
    <w:rsid w:val="66D75BB9"/>
    <w:rsid w:val="66DD5006"/>
    <w:rsid w:val="6877748A"/>
    <w:rsid w:val="6A489F32"/>
    <w:rsid w:val="6AE20D12"/>
    <w:rsid w:val="6C287A13"/>
    <w:rsid w:val="6C499993"/>
    <w:rsid w:val="6D202B80"/>
    <w:rsid w:val="6E7EB414"/>
    <w:rsid w:val="6EABD9CF"/>
    <w:rsid w:val="6F16DABE"/>
    <w:rsid w:val="6F48513C"/>
    <w:rsid w:val="70200983"/>
    <w:rsid w:val="7065D338"/>
    <w:rsid w:val="73DA0F44"/>
    <w:rsid w:val="746EAA19"/>
    <w:rsid w:val="749CCBF3"/>
    <w:rsid w:val="78050C37"/>
    <w:rsid w:val="79745070"/>
    <w:rsid w:val="79E647DE"/>
    <w:rsid w:val="7A1BFC34"/>
    <w:rsid w:val="7A7BDDF0"/>
    <w:rsid w:val="7AD2F02A"/>
    <w:rsid w:val="7B07A766"/>
    <w:rsid w:val="7CF87B98"/>
    <w:rsid w:val="7E3FF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AF85E"/>
  <w15:docId w15:val="{56FEFC12-5AAB-4B90-87F4-FACEA9D8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E3"/>
    <w:rPr>
      <w:rFonts w:ascii="Segoe UI" w:hAnsi="Segoe UI" w:cs="Segoe UI"/>
      <w:sz w:val="18"/>
      <w:szCs w:val="18"/>
    </w:rPr>
  </w:style>
  <w:style w:type="paragraph" w:styleId="FootnoteText">
    <w:name w:val="footnote text"/>
    <w:basedOn w:val="Normal"/>
    <w:link w:val="FootnoteTextChar"/>
    <w:uiPriority w:val="99"/>
    <w:unhideWhenUsed/>
    <w:rsid w:val="000D21B9"/>
    <w:pPr>
      <w:spacing w:after="0" w:line="240" w:lineRule="auto"/>
    </w:pPr>
    <w:rPr>
      <w:sz w:val="20"/>
      <w:szCs w:val="20"/>
    </w:rPr>
  </w:style>
  <w:style w:type="character" w:customStyle="1" w:styleId="FootnoteTextChar">
    <w:name w:val="Footnote Text Char"/>
    <w:basedOn w:val="DefaultParagraphFont"/>
    <w:link w:val="FootnoteText"/>
    <w:uiPriority w:val="99"/>
    <w:rsid w:val="000D21B9"/>
    <w:rPr>
      <w:sz w:val="20"/>
      <w:szCs w:val="20"/>
    </w:rPr>
  </w:style>
  <w:style w:type="character" w:styleId="FootnoteReference">
    <w:name w:val="footnote reference"/>
    <w:basedOn w:val="DefaultParagraphFont"/>
    <w:uiPriority w:val="99"/>
    <w:unhideWhenUsed/>
    <w:rsid w:val="000D21B9"/>
    <w:rPr>
      <w:vertAlign w:val="superscript"/>
    </w:rPr>
  </w:style>
  <w:style w:type="paragraph" w:styleId="ListParagraph">
    <w:name w:val="List Paragraph"/>
    <w:basedOn w:val="Normal"/>
    <w:uiPriority w:val="34"/>
    <w:qFormat/>
    <w:rsid w:val="001545BF"/>
    <w:pPr>
      <w:ind w:left="720"/>
      <w:contextualSpacing/>
    </w:pPr>
  </w:style>
  <w:style w:type="character" w:styleId="CommentReference">
    <w:name w:val="annotation reference"/>
    <w:basedOn w:val="DefaultParagraphFont"/>
    <w:uiPriority w:val="99"/>
    <w:semiHidden/>
    <w:unhideWhenUsed/>
    <w:rsid w:val="000F3C6C"/>
    <w:rPr>
      <w:sz w:val="16"/>
      <w:szCs w:val="16"/>
    </w:rPr>
  </w:style>
  <w:style w:type="paragraph" w:styleId="CommentText">
    <w:name w:val="annotation text"/>
    <w:basedOn w:val="Normal"/>
    <w:link w:val="CommentTextChar"/>
    <w:uiPriority w:val="99"/>
    <w:unhideWhenUsed/>
    <w:rsid w:val="000F3C6C"/>
    <w:pPr>
      <w:spacing w:line="240" w:lineRule="auto"/>
    </w:pPr>
    <w:rPr>
      <w:sz w:val="20"/>
      <w:szCs w:val="20"/>
    </w:rPr>
  </w:style>
  <w:style w:type="character" w:customStyle="1" w:styleId="CommentTextChar">
    <w:name w:val="Comment Text Char"/>
    <w:basedOn w:val="DefaultParagraphFont"/>
    <w:link w:val="CommentText"/>
    <w:uiPriority w:val="99"/>
    <w:rsid w:val="000F3C6C"/>
    <w:rPr>
      <w:sz w:val="20"/>
      <w:szCs w:val="20"/>
    </w:rPr>
  </w:style>
  <w:style w:type="paragraph" w:styleId="CommentSubject">
    <w:name w:val="annotation subject"/>
    <w:basedOn w:val="CommentText"/>
    <w:next w:val="CommentText"/>
    <w:link w:val="CommentSubjectChar"/>
    <w:uiPriority w:val="99"/>
    <w:semiHidden/>
    <w:unhideWhenUsed/>
    <w:rsid w:val="000F3C6C"/>
    <w:rPr>
      <w:b/>
      <w:bCs/>
    </w:rPr>
  </w:style>
  <w:style w:type="character" w:customStyle="1" w:styleId="CommentSubjectChar">
    <w:name w:val="Comment Subject Char"/>
    <w:basedOn w:val="CommentTextChar"/>
    <w:link w:val="CommentSubject"/>
    <w:uiPriority w:val="99"/>
    <w:semiHidden/>
    <w:rsid w:val="000F3C6C"/>
    <w:rPr>
      <w:b/>
      <w:bCs/>
      <w:sz w:val="20"/>
      <w:szCs w:val="20"/>
    </w:rPr>
  </w:style>
  <w:style w:type="character" w:customStyle="1" w:styleId="Heading2Char">
    <w:name w:val="Heading 2 Char"/>
    <w:basedOn w:val="DefaultParagraphFont"/>
    <w:link w:val="Heading2"/>
    <w:uiPriority w:val="9"/>
    <w:rsid w:val="00A71735"/>
    <w:rPr>
      <w:rFonts w:ascii="Times New Roman" w:eastAsia="Times New Roman" w:hAnsi="Times New Roman" w:cs="Times New Roman"/>
      <w:b/>
      <w:bCs/>
      <w:sz w:val="36"/>
      <w:szCs w:val="36"/>
    </w:rPr>
  </w:style>
  <w:style w:type="paragraph" w:styleId="Revision">
    <w:name w:val="Revision"/>
    <w:hidden/>
    <w:uiPriority w:val="99"/>
    <w:semiHidden/>
    <w:rsid w:val="00D20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2284">
      <w:bodyDiv w:val="1"/>
      <w:marLeft w:val="0"/>
      <w:marRight w:val="0"/>
      <w:marTop w:val="0"/>
      <w:marBottom w:val="0"/>
      <w:divBdr>
        <w:top w:val="none" w:sz="0" w:space="0" w:color="auto"/>
        <w:left w:val="none" w:sz="0" w:space="0" w:color="auto"/>
        <w:bottom w:val="none" w:sz="0" w:space="0" w:color="auto"/>
        <w:right w:val="none" w:sz="0" w:space="0" w:color="auto"/>
      </w:divBdr>
    </w:div>
    <w:div w:id="1805807989">
      <w:bodyDiv w:val="1"/>
      <w:marLeft w:val="0"/>
      <w:marRight w:val="0"/>
      <w:marTop w:val="0"/>
      <w:marBottom w:val="0"/>
      <w:divBdr>
        <w:top w:val="none" w:sz="0" w:space="0" w:color="auto"/>
        <w:left w:val="none" w:sz="0" w:space="0" w:color="auto"/>
        <w:bottom w:val="none" w:sz="0" w:space="0" w:color="auto"/>
        <w:right w:val="none" w:sz="0" w:space="0" w:color="auto"/>
      </w:divBdr>
    </w:div>
    <w:div w:id="18791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A8DE-22CB-4D86-9DA9-3103FFE9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 (College of Liberal Arts and Sciences)</cp:lastModifiedBy>
  <cp:revision>2</cp:revision>
  <cp:lastPrinted>2017-11-08T19:24:00Z</cp:lastPrinted>
  <dcterms:created xsi:type="dcterms:W3CDTF">2017-12-09T00:56:00Z</dcterms:created>
  <dcterms:modified xsi:type="dcterms:W3CDTF">2017-12-09T00:56:00Z</dcterms:modified>
</cp:coreProperties>
</file>