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5" w:type="dxa"/>
        <w:tblInd w:w="-5" w:type="dxa"/>
        <w:tblLook w:val="04A0" w:firstRow="1" w:lastRow="0" w:firstColumn="1" w:lastColumn="0" w:noHBand="0" w:noVBand="1"/>
      </w:tblPr>
      <w:tblGrid>
        <w:gridCol w:w="14"/>
        <w:gridCol w:w="796"/>
        <w:gridCol w:w="5254"/>
        <w:gridCol w:w="3751"/>
      </w:tblGrid>
      <w:tr w:rsidR="00107DD9" w:rsidRPr="003F59A6" w:rsidTr="003F59A6">
        <w:trPr>
          <w:gridBefore w:val="1"/>
          <w:wBefore w:w="14" w:type="dxa"/>
        </w:trPr>
        <w:tc>
          <w:tcPr>
            <w:tcW w:w="9801" w:type="dxa"/>
            <w:gridSpan w:val="3"/>
            <w:shd w:val="clear" w:color="auto" w:fill="9CC2E5" w:themeFill="accent1" w:themeFillTint="99"/>
          </w:tcPr>
          <w:p w:rsidR="002E18EA" w:rsidRPr="0005101F" w:rsidRDefault="0005101F" w:rsidP="002E18EA">
            <w:pPr>
              <w:jc w:val="center"/>
              <w:rPr>
                <w:rFonts w:asciiTheme="minorHAnsi" w:hAnsiTheme="minorHAnsi"/>
                <w:b/>
                <w:sz w:val="24"/>
                <w:szCs w:val="24"/>
              </w:rPr>
            </w:pPr>
            <w:r w:rsidRPr="0005101F">
              <w:rPr>
                <w:rFonts w:asciiTheme="minorHAnsi" w:hAnsiTheme="minorHAnsi"/>
                <w:b/>
                <w:sz w:val="24"/>
                <w:szCs w:val="24"/>
              </w:rPr>
              <w:t>HISTORICAL PERSPECTIVES</w:t>
            </w:r>
          </w:p>
          <w:p w:rsidR="0005101F" w:rsidRPr="0005101F" w:rsidRDefault="0005101F" w:rsidP="0005101F">
            <w:pPr>
              <w:rPr>
                <w:rFonts w:asciiTheme="minorHAnsi" w:hAnsiTheme="minorHAnsi"/>
                <w:sz w:val="24"/>
                <w:szCs w:val="24"/>
              </w:rPr>
            </w:pPr>
            <w:r w:rsidRPr="0005101F">
              <w:rPr>
                <w:rFonts w:asciiTheme="minorHAnsi" w:hAnsiTheme="minorHAnsi"/>
                <w:sz w:val="24"/>
                <w:szCs w:val="24"/>
              </w:rPr>
              <w:t>Courses in this area help students understand a period of the past in its own terms, comprehend the historical processes of change and continuity, sharpen their analytical skills in the evaluation of evidence and develop their ability to generalize, explain, and interpret historical change. Courses from any discipline or interdisciplinary unit that examine the broad history of any subject matter, people, or idea may be approved in this area. Courses may survey a single topic across time, or intensively cover a specific period, or study one or several issues in comparative perspective within or across time, or cover a topical problem from the perspectives of historical investigation.</w:t>
            </w:r>
          </w:p>
          <w:p w:rsidR="00107DD9" w:rsidRPr="0005101F" w:rsidRDefault="00107DD9" w:rsidP="003F59A6">
            <w:pPr>
              <w:rPr>
                <w:rFonts w:asciiTheme="minorHAnsi" w:hAnsiTheme="minorHAnsi"/>
                <w:sz w:val="24"/>
                <w:szCs w:val="24"/>
              </w:rPr>
            </w:pPr>
          </w:p>
        </w:tc>
      </w:tr>
      <w:tr w:rsidR="000A280B" w:rsidRPr="003F59A6" w:rsidTr="003F59A6">
        <w:trPr>
          <w:gridBefore w:val="1"/>
          <w:wBefore w:w="14" w:type="dxa"/>
        </w:trPr>
        <w:tc>
          <w:tcPr>
            <w:tcW w:w="796" w:type="dxa"/>
            <w:shd w:val="clear" w:color="auto" w:fill="9CC2E5" w:themeFill="accent1" w:themeFillTint="99"/>
          </w:tcPr>
          <w:p w:rsidR="000A280B" w:rsidRPr="003F59A6" w:rsidRDefault="000A280B" w:rsidP="003F59A6">
            <w:pPr>
              <w:spacing w:before="100" w:beforeAutospacing="1" w:after="100" w:afterAutospacing="1"/>
              <w:ind w:left="360"/>
              <w:rPr>
                <w:rFonts w:asciiTheme="minorHAnsi" w:hAnsiTheme="minorHAnsi"/>
                <w:sz w:val="24"/>
                <w:szCs w:val="24"/>
              </w:rPr>
            </w:pPr>
            <w:r w:rsidRPr="003F59A6">
              <w:rPr>
                <w:rFonts w:asciiTheme="minorHAnsi" w:hAnsiTheme="minorHAnsi"/>
                <w:sz w:val="24"/>
                <w:szCs w:val="24"/>
              </w:rPr>
              <w:t xml:space="preserve"> </w:t>
            </w:r>
          </w:p>
        </w:tc>
        <w:tc>
          <w:tcPr>
            <w:tcW w:w="5254" w:type="dxa"/>
            <w:shd w:val="clear" w:color="auto" w:fill="9CC2E5" w:themeFill="accent1" w:themeFillTint="99"/>
          </w:tcPr>
          <w:p w:rsidR="000A280B" w:rsidRPr="003F59A6" w:rsidRDefault="000A280B" w:rsidP="00DF6C13">
            <w:pPr>
              <w:spacing w:before="100" w:beforeAutospacing="1" w:after="100" w:afterAutospacing="1"/>
              <w:rPr>
                <w:rFonts w:asciiTheme="minorHAnsi" w:hAnsiTheme="minorHAnsi"/>
                <w:b/>
                <w:sz w:val="24"/>
                <w:szCs w:val="24"/>
              </w:rPr>
            </w:pPr>
            <w:r w:rsidRPr="003F59A6">
              <w:rPr>
                <w:rFonts w:asciiTheme="minorHAnsi" w:hAnsiTheme="minorHAnsi"/>
                <w:b/>
                <w:sz w:val="24"/>
                <w:szCs w:val="24"/>
              </w:rPr>
              <w:t>COMMENTS</w:t>
            </w:r>
          </w:p>
        </w:tc>
        <w:tc>
          <w:tcPr>
            <w:tcW w:w="3751" w:type="dxa"/>
            <w:shd w:val="clear" w:color="auto" w:fill="9CC2E5" w:themeFill="accent1" w:themeFillTint="99"/>
          </w:tcPr>
          <w:p w:rsidR="000A280B" w:rsidRPr="003F59A6" w:rsidRDefault="008B0DDC" w:rsidP="000A280B">
            <w:pPr>
              <w:spacing w:before="100" w:beforeAutospacing="1" w:after="100" w:afterAutospacing="1"/>
              <w:rPr>
                <w:rFonts w:asciiTheme="minorHAnsi" w:hAnsiTheme="minorHAnsi"/>
                <w:b/>
                <w:sz w:val="24"/>
                <w:szCs w:val="24"/>
              </w:rPr>
            </w:pPr>
            <w:r w:rsidRPr="003F59A6">
              <w:rPr>
                <w:rFonts w:asciiTheme="minorHAnsi" w:hAnsiTheme="minorHAnsi"/>
                <w:b/>
                <w:sz w:val="24"/>
                <w:szCs w:val="24"/>
              </w:rPr>
              <w:t xml:space="preserve">GE COURSE </w:t>
            </w:r>
            <w:r w:rsidR="000A280B" w:rsidRPr="003F59A6">
              <w:rPr>
                <w:rFonts w:asciiTheme="minorHAnsi" w:hAnsiTheme="minorHAnsi"/>
                <w:b/>
                <w:sz w:val="24"/>
                <w:szCs w:val="24"/>
              </w:rPr>
              <w:t xml:space="preserve">ATTRIBUTES </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DF6C13">
            <w:pPr>
              <w:spacing w:before="100" w:beforeAutospacing="1" w:after="100" w:afterAutospacing="1"/>
              <w:rPr>
                <w:rFonts w:asciiTheme="minorHAnsi" w:hAnsiTheme="minorHAnsi"/>
                <w:sz w:val="24"/>
                <w:szCs w:val="24"/>
              </w:rPr>
            </w:pPr>
            <w:r w:rsidRPr="003F59A6">
              <w:rPr>
                <w:rFonts w:asciiTheme="minorHAnsi" w:hAnsiTheme="minorHAnsi"/>
                <w:sz w:val="24"/>
                <w:szCs w:val="24"/>
              </w:rPr>
              <w:t>A</w:t>
            </w:r>
            <w:r w:rsidR="000A280B" w:rsidRPr="003F59A6">
              <w:rPr>
                <w:rFonts w:asciiTheme="minorHAnsi" w:hAnsiTheme="minorHAnsi"/>
                <w:sz w:val="24"/>
                <w:szCs w:val="24"/>
              </w:rPr>
              <w:t>ssume</w:t>
            </w:r>
            <w:r w:rsidRPr="003F59A6">
              <w:rPr>
                <w:rFonts w:asciiTheme="minorHAnsi" w:hAnsiTheme="minorHAnsi"/>
                <w:sz w:val="24"/>
                <w:szCs w:val="24"/>
              </w:rPr>
              <w:t>s</w:t>
            </w:r>
            <w:r w:rsidR="000A280B" w:rsidRPr="003F59A6">
              <w:rPr>
                <w:rFonts w:asciiTheme="minorHAnsi" w:hAnsiTheme="minorHAnsi"/>
                <w:sz w:val="24"/>
                <w:szCs w:val="24"/>
              </w:rPr>
              <w:t xml:space="preserve"> no prior student knowledge in the course content.</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B</w:t>
            </w:r>
            <w:r w:rsidR="000A280B" w:rsidRPr="003F59A6">
              <w:rPr>
                <w:rFonts w:asciiTheme="minorHAnsi" w:hAnsiTheme="minorHAnsi"/>
                <w:sz w:val="24"/>
                <w:szCs w:val="24"/>
              </w:rPr>
              <w:t>uild</w:t>
            </w:r>
            <w:r w:rsidRPr="003F59A6">
              <w:rPr>
                <w:rFonts w:asciiTheme="minorHAnsi" w:hAnsiTheme="minorHAnsi"/>
                <w:sz w:val="24"/>
                <w:szCs w:val="24"/>
              </w:rPr>
              <w:t>s</w:t>
            </w:r>
            <w:r w:rsidR="000A280B" w:rsidRPr="003F59A6">
              <w:rPr>
                <w:rFonts w:asciiTheme="minorHAnsi" w:hAnsiTheme="minorHAnsi"/>
                <w:sz w:val="24"/>
                <w:szCs w:val="24"/>
              </w:rPr>
              <w:t xml:space="preserve"> from simple and/or informal assignments to more complex and/or formal ones.</w:t>
            </w:r>
            <w:bookmarkStart w:id="0" w:name="_GoBack"/>
            <w:bookmarkEnd w:id="0"/>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 xml:space="preserve">Offers </w:t>
            </w:r>
            <w:r w:rsidR="000A280B" w:rsidRPr="003F59A6">
              <w:rPr>
                <w:rFonts w:asciiTheme="minorHAnsi" w:hAnsiTheme="minorHAnsi"/>
                <w:sz w:val="24"/>
                <w:szCs w:val="24"/>
              </w:rPr>
              <w:t>early and frequent evaluation of student work</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D9188D" w:rsidRPr="003F59A6" w:rsidRDefault="00D9188D"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D9188D">
            <w:pPr>
              <w:spacing w:before="100" w:beforeAutospacing="1" w:after="100" w:afterAutospacing="1"/>
              <w:rPr>
                <w:rFonts w:asciiTheme="minorHAnsi" w:hAnsiTheme="minorHAnsi"/>
                <w:sz w:val="24"/>
                <w:szCs w:val="24"/>
              </w:rPr>
            </w:pPr>
            <w:r w:rsidRPr="003F59A6">
              <w:rPr>
                <w:rFonts w:asciiTheme="minorHAnsi" w:hAnsiTheme="minorHAnsi"/>
                <w:sz w:val="24"/>
                <w:szCs w:val="24"/>
              </w:rPr>
              <w:t xml:space="preserve">Uses </w:t>
            </w:r>
            <w:r w:rsidR="000A280B" w:rsidRPr="003F59A6">
              <w:rPr>
                <w:rFonts w:asciiTheme="minorHAnsi" w:hAnsiTheme="minorHAnsi"/>
                <w:sz w:val="24"/>
                <w:szCs w:val="24"/>
              </w:rPr>
              <w:t>models and/or rubrics to define academic expectations.</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 xml:space="preserve">Uses </w:t>
            </w:r>
            <w:r w:rsidR="000A280B" w:rsidRPr="003F59A6">
              <w:rPr>
                <w:rFonts w:asciiTheme="minorHAnsi" w:hAnsiTheme="minorHAnsi"/>
                <w:sz w:val="24"/>
                <w:szCs w:val="24"/>
              </w:rPr>
              <w:t>a variety of teaching and assessment strategies throughout the semester.</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I</w:t>
            </w:r>
            <w:r w:rsidR="000A280B" w:rsidRPr="003F59A6">
              <w:rPr>
                <w:rFonts w:asciiTheme="minorHAnsi" w:hAnsiTheme="minorHAnsi"/>
                <w:sz w:val="24"/>
                <w:szCs w:val="24"/>
              </w:rPr>
              <w:t>ntegrate</w:t>
            </w:r>
            <w:r w:rsidRPr="003F59A6">
              <w:rPr>
                <w:rFonts w:asciiTheme="minorHAnsi" w:hAnsiTheme="minorHAnsi"/>
                <w:sz w:val="24"/>
                <w:szCs w:val="24"/>
              </w:rPr>
              <w:t>s</w:t>
            </w:r>
            <w:r w:rsidR="000A280B" w:rsidRPr="003F59A6">
              <w:rPr>
                <w:rFonts w:asciiTheme="minorHAnsi" w:hAnsiTheme="minorHAnsi"/>
                <w:sz w:val="24"/>
                <w:szCs w:val="24"/>
              </w:rPr>
              <w:t xml:space="preserve"> the instructor’s research within the course when feasible. </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E</w:t>
            </w:r>
            <w:r w:rsidR="000A280B" w:rsidRPr="003F59A6">
              <w:rPr>
                <w:rFonts w:asciiTheme="minorHAnsi" w:hAnsiTheme="minorHAnsi"/>
                <w:sz w:val="24"/>
                <w:szCs w:val="24"/>
              </w:rPr>
              <w:t>ncourage</w:t>
            </w:r>
            <w:r w:rsidRPr="003F59A6">
              <w:rPr>
                <w:rFonts w:asciiTheme="minorHAnsi" w:hAnsiTheme="minorHAnsi"/>
                <w:sz w:val="24"/>
                <w:szCs w:val="24"/>
              </w:rPr>
              <w:t>s</w:t>
            </w:r>
            <w:r w:rsidR="000A280B" w:rsidRPr="003F59A6">
              <w:rPr>
                <w:rFonts w:asciiTheme="minorHAnsi" w:hAnsiTheme="minorHAnsi"/>
                <w:sz w:val="24"/>
                <w:szCs w:val="24"/>
              </w:rPr>
              <w:t xml:space="preserve"> students to learn from each other whenever possible.</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U</w:t>
            </w:r>
            <w:r w:rsidR="000A280B" w:rsidRPr="003F59A6">
              <w:rPr>
                <w:rFonts w:asciiTheme="minorHAnsi" w:hAnsiTheme="minorHAnsi"/>
                <w:sz w:val="24"/>
                <w:szCs w:val="24"/>
              </w:rPr>
              <w:t>se</w:t>
            </w:r>
            <w:r w:rsidRPr="003F59A6">
              <w:rPr>
                <w:rFonts w:asciiTheme="minorHAnsi" w:hAnsiTheme="minorHAnsi"/>
                <w:sz w:val="24"/>
                <w:szCs w:val="24"/>
              </w:rPr>
              <w:t>s</w:t>
            </w:r>
            <w:r w:rsidR="000A280B" w:rsidRPr="003F59A6">
              <w:rPr>
                <w:rFonts w:asciiTheme="minorHAnsi" w:hAnsiTheme="minorHAnsi"/>
                <w:sz w:val="24"/>
                <w:szCs w:val="24"/>
              </w:rPr>
              <w:t xml:space="preserve"> technology as a supplemental tool to support learning when feasible.</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D</w:t>
            </w:r>
            <w:r w:rsidR="000A280B" w:rsidRPr="003F59A6">
              <w:rPr>
                <w:rFonts w:asciiTheme="minorHAnsi" w:hAnsiTheme="minorHAnsi"/>
                <w:sz w:val="24"/>
                <w:szCs w:val="24"/>
              </w:rPr>
              <w:t>iscuss</w:t>
            </w:r>
            <w:r w:rsidRPr="003F59A6">
              <w:rPr>
                <w:rFonts w:asciiTheme="minorHAnsi" w:hAnsiTheme="minorHAnsi"/>
                <w:sz w:val="24"/>
                <w:szCs w:val="24"/>
              </w:rPr>
              <w:t>es</w:t>
            </w:r>
            <w:r w:rsidR="000A280B" w:rsidRPr="003F59A6">
              <w:rPr>
                <w:rFonts w:asciiTheme="minorHAnsi" w:hAnsiTheme="minorHAnsi"/>
                <w:sz w:val="24"/>
                <w:szCs w:val="24"/>
              </w:rPr>
              <w:t xml:space="preserve"> academic integrity.</w:t>
            </w:r>
          </w:p>
        </w:tc>
      </w:tr>
      <w:tr w:rsidR="000A280B" w:rsidRPr="003F59A6" w:rsidTr="003F59A6">
        <w:trPr>
          <w:gridBefore w:val="1"/>
          <w:wBefore w:w="14" w:type="dxa"/>
        </w:trPr>
        <w:tc>
          <w:tcPr>
            <w:tcW w:w="796" w:type="dxa"/>
            <w:tcBorders>
              <w:bottom w:val="single" w:sz="4" w:space="0" w:color="auto"/>
            </w:tcBorders>
            <w:shd w:val="clear" w:color="auto" w:fill="9CC2E5" w:themeFill="accent1" w:themeFillTint="99"/>
          </w:tcPr>
          <w:p w:rsidR="000A280B" w:rsidRPr="003F59A6" w:rsidRDefault="000A280B" w:rsidP="003F59A6">
            <w:pPr>
              <w:pStyle w:val="ListParagraph"/>
              <w:spacing w:before="100" w:beforeAutospacing="1" w:after="100" w:afterAutospacing="1"/>
              <w:ind w:left="360"/>
              <w:rPr>
                <w:rFonts w:asciiTheme="minorHAnsi" w:hAnsiTheme="minorHAnsi"/>
                <w:sz w:val="24"/>
                <w:szCs w:val="24"/>
              </w:rPr>
            </w:pPr>
          </w:p>
        </w:tc>
        <w:tc>
          <w:tcPr>
            <w:tcW w:w="5254" w:type="dxa"/>
            <w:tcBorders>
              <w:bottom w:val="single" w:sz="4" w:space="0" w:color="auto"/>
            </w:tcBorders>
            <w:shd w:val="clear" w:color="auto" w:fill="9CC2E5" w:themeFill="accent1" w:themeFillTint="99"/>
          </w:tcPr>
          <w:p w:rsidR="000A280B" w:rsidRPr="003F59A6" w:rsidRDefault="008B073A" w:rsidP="00D01F1C">
            <w:pPr>
              <w:spacing w:before="100" w:beforeAutospacing="1" w:after="100" w:afterAutospacing="1"/>
              <w:rPr>
                <w:rFonts w:asciiTheme="minorHAnsi" w:hAnsiTheme="minorHAnsi"/>
                <w:b/>
                <w:sz w:val="24"/>
                <w:szCs w:val="24"/>
              </w:rPr>
            </w:pPr>
            <w:r w:rsidRPr="003F59A6">
              <w:rPr>
                <w:rFonts w:asciiTheme="minorHAnsi" w:hAnsiTheme="minorHAnsi"/>
                <w:b/>
                <w:sz w:val="24"/>
                <w:szCs w:val="24"/>
              </w:rPr>
              <w:t>COMMENTS</w:t>
            </w:r>
          </w:p>
        </w:tc>
        <w:tc>
          <w:tcPr>
            <w:tcW w:w="3751" w:type="dxa"/>
            <w:shd w:val="clear" w:color="auto" w:fill="9CC2E5" w:themeFill="accent1" w:themeFillTint="99"/>
          </w:tcPr>
          <w:p w:rsidR="000A280B" w:rsidRPr="003F59A6" w:rsidRDefault="008B0DDC" w:rsidP="00D01F1C">
            <w:pPr>
              <w:spacing w:before="100" w:beforeAutospacing="1" w:after="100" w:afterAutospacing="1"/>
              <w:rPr>
                <w:rFonts w:asciiTheme="minorHAnsi" w:hAnsiTheme="minorHAnsi"/>
                <w:b/>
                <w:sz w:val="24"/>
                <w:szCs w:val="24"/>
              </w:rPr>
            </w:pPr>
            <w:r w:rsidRPr="003F59A6">
              <w:rPr>
                <w:rFonts w:asciiTheme="minorHAnsi" w:hAnsiTheme="minorHAnsi"/>
                <w:b/>
                <w:sz w:val="24"/>
                <w:szCs w:val="24"/>
              </w:rPr>
              <w:t xml:space="preserve">GE </w:t>
            </w:r>
            <w:r w:rsidR="000A280B" w:rsidRPr="003F59A6">
              <w:rPr>
                <w:rFonts w:asciiTheme="minorHAnsi" w:hAnsiTheme="minorHAnsi"/>
                <w:b/>
                <w:sz w:val="24"/>
                <w:szCs w:val="24"/>
              </w:rPr>
              <w:t>COMPREHENSIVE OUTCOMES</w:t>
            </w:r>
          </w:p>
        </w:tc>
      </w:tr>
      <w:tr w:rsidR="000A280B" w:rsidRPr="003F59A6" w:rsidTr="003F59A6">
        <w:tc>
          <w:tcPr>
            <w:tcW w:w="810" w:type="dxa"/>
            <w:gridSpan w:val="2"/>
            <w:tcBorders>
              <w:top w:val="nil"/>
            </w:tcBorders>
            <w:shd w:val="clear" w:color="auto" w:fill="auto"/>
          </w:tcPr>
          <w:p w:rsidR="000A280B" w:rsidRPr="003F59A6" w:rsidRDefault="000A280B" w:rsidP="003F59A6">
            <w:pPr>
              <w:spacing w:before="100" w:beforeAutospacing="1" w:after="100" w:afterAutospacing="1"/>
              <w:rPr>
                <w:rFonts w:asciiTheme="minorHAnsi" w:hAnsiTheme="minorHAnsi"/>
                <w:sz w:val="24"/>
                <w:szCs w:val="24"/>
              </w:rPr>
            </w:pPr>
          </w:p>
        </w:tc>
        <w:tc>
          <w:tcPr>
            <w:tcW w:w="5254" w:type="dxa"/>
            <w:tcBorders>
              <w:top w:val="single" w:sz="4" w:space="0" w:color="auto"/>
            </w:tcBorders>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become more aware of the learning process.</w:t>
            </w:r>
          </w:p>
        </w:tc>
      </w:tr>
      <w:tr w:rsidR="000A280B" w:rsidRPr="003F59A6" w:rsidTr="003F59A6">
        <w:tc>
          <w:tcPr>
            <w:tcW w:w="810" w:type="dxa"/>
            <w:gridSpan w:val="2"/>
            <w:tcBorders>
              <w:top w:val="single" w:sz="4" w:space="0" w:color="auto"/>
            </w:tcBorders>
            <w:shd w:val="clear" w:color="auto" w:fill="auto"/>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Borders>
              <w:top w:val="single" w:sz="4" w:space="0" w:color="auto"/>
            </w:tcBorders>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have a better understanding of the ways that learning can transform the individual and motivate change within society.</w:t>
            </w:r>
          </w:p>
        </w:tc>
      </w:tr>
      <w:tr w:rsidR="000A280B" w:rsidRPr="003F59A6" w:rsidTr="003F59A6">
        <w:tc>
          <w:tcPr>
            <w:tcW w:w="810" w:type="dxa"/>
            <w:gridSpan w:val="2"/>
            <w:tcBorders>
              <w:top w:val="single" w:sz="4" w:space="0" w:color="auto"/>
            </w:tcBorders>
            <w:shd w:val="clear" w:color="auto" w:fill="auto"/>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Borders>
              <w:top w:val="single" w:sz="4" w:space="0" w:color="auto"/>
            </w:tcBorders>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use the skills, methods, and modes of inquiry central to the area of study represented by the course and by its GE status area within the GE program.</w:t>
            </w:r>
          </w:p>
        </w:tc>
      </w:tr>
      <w:tr w:rsidR="000A280B" w:rsidRPr="003F59A6" w:rsidTr="003F59A6">
        <w:tc>
          <w:tcPr>
            <w:tcW w:w="810" w:type="dxa"/>
            <w:gridSpan w:val="2"/>
            <w:tcBorders>
              <w:top w:val="single" w:sz="4" w:space="0" w:color="auto"/>
            </w:tcBorders>
            <w:shd w:val="clear" w:color="auto" w:fill="auto"/>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Borders>
              <w:top w:val="single" w:sz="4" w:space="0" w:color="auto"/>
            </w:tcBorders>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think critically, using analysis, deduction, inference and/or other analytical strategies to complete assignments and other course activities.</w:t>
            </w:r>
          </w:p>
        </w:tc>
      </w:tr>
      <w:tr w:rsidR="000A280B" w:rsidRPr="003F59A6" w:rsidTr="003F59A6">
        <w:tc>
          <w:tcPr>
            <w:tcW w:w="810" w:type="dxa"/>
            <w:gridSpan w:val="2"/>
            <w:shd w:val="clear" w:color="auto" w:fill="auto"/>
          </w:tcPr>
          <w:p w:rsidR="000A280B" w:rsidRPr="003F59A6" w:rsidRDefault="000A280B" w:rsidP="003F59A6">
            <w:pPr>
              <w:pStyle w:val="ListParagraph"/>
              <w:spacing w:before="100" w:beforeAutospacing="1" w:after="100" w:afterAutospacing="1"/>
              <w:rPr>
                <w:rFonts w:asciiTheme="minorHAnsi" w:hAnsiTheme="minorHAnsi"/>
                <w:sz w:val="24"/>
                <w:szCs w:val="24"/>
              </w:rPr>
            </w:pPr>
          </w:p>
        </w:tc>
        <w:tc>
          <w:tcPr>
            <w:tcW w:w="5254" w:type="dxa"/>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write and speak informally and/or formally about matters related to the course, while also using other methods of communication appropriate to the course content.</w:t>
            </w:r>
          </w:p>
        </w:tc>
      </w:tr>
      <w:tr w:rsidR="000A280B" w:rsidRPr="003F59A6" w:rsidTr="003F59A6">
        <w:trPr>
          <w:trHeight w:val="332"/>
        </w:trPr>
        <w:tc>
          <w:tcPr>
            <w:tcW w:w="810" w:type="dxa"/>
            <w:gridSpan w:val="2"/>
            <w:shd w:val="clear" w:color="auto" w:fill="9CC2E5" w:themeFill="accent1" w:themeFillTint="99"/>
          </w:tcPr>
          <w:p w:rsidR="000A280B" w:rsidRPr="003F59A6" w:rsidRDefault="000A280B" w:rsidP="000A280B">
            <w:pPr>
              <w:spacing w:before="100" w:beforeAutospacing="1" w:after="100" w:afterAutospacing="1"/>
              <w:ind w:left="360"/>
              <w:rPr>
                <w:rFonts w:asciiTheme="minorHAnsi" w:hAnsiTheme="minorHAnsi"/>
                <w:sz w:val="24"/>
                <w:szCs w:val="24"/>
              </w:rPr>
            </w:pPr>
          </w:p>
        </w:tc>
        <w:tc>
          <w:tcPr>
            <w:tcW w:w="5254" w:type="dxa"/>
            <w:shd w:val="clear" w:color="auto" w:fill="9CC2E5" w:themeFill="accent1" w:themeFillTint="99"/>
          </w:tcPr>
          <w:p w:rsidR="000A280B" w:rsidRPr="003F59A6" w:rsidRDefault="003F59A6" w:rsidP="000A280B">
            <w:pPr>
              <w:spacing w:before="100" w:beforeAutospacing="1" w:after="100" w:afterAutospacing="1"/>
              <w:ind w:left="360"/>
              <w:rPr>
                <w:rFonts w:asciiTheme="minorHAnsi" w:hAnsiTheme="minorHAnsi"/>
                <w:b/>
                <w:sz w:val="24"/>
                <w:szCs w:val="24"/>
              </w:rPr>
            </w:pPr>
            <w:r w:rsidRPr="003F59A6">
              <w:rPr>
                <w:rFonts w:asciiTheme="minorHAnsi" w:hAnsiTheme="minorHAnsi"/>
                <w:b/>
                <w:sz w:val="24"/>
                <w:szCs w:val="24"/>
              </w:rPr>
              <w:t>COMMENTS</w:t>
            </w:r>
          </w:p>
        </w:tc>
        <w:tc>
          <w:tcPr>
            <w:tcW w:w="3751" w:type="dxa"/>
            <w:shd w:val="clear" w:color="auto" w:fill="9CC2E5" w:themeFill="accent1" w:themeFillTint="99"/>
          </w:tcPr>
          <w:p w:rsidR="000A280B" w:rsidRPr="003F59A6" w:rsidRDefault="0005101F" w:rsidP="003F59A6">
            <w:pPr>
              <w:rPr>
                <w:rFonts w:asciiTheme="minorHAnsi" w:hAnsiTheme="minorHAnsi"/>
                <w:b/>
                <w:sz w:val="24"/>
                <w:szCs w:val="24"/>
              </w:rPr>
            </w:pPr>
            <w:r>
              <w:rPr>
                <w:rFonts w:asciiTheme="minorHAnsi" w:hAnsiTheme="minorHAnsi"/>
                <w:b/>
                <w:sz w:val="24"/>
                <w:szCs w:val="24"/>
              </w:rPr>
              <w:t xml:space="preserve">HISTORICAL PERSPECTIVES </w:t>
            </w:r>
            <w:r w:rsidR="000A280B" w:rsidRPr="003F59A6">
              <w:rPr>
                <w:rFonts w:asciiTheme="minorHAnsi" w:hAnsiTheme="minorHAnsi"/>
                <w:b/>
                <w:sz w:val="24"/>
                <w:szCs w:val="24"/>
              </w:rPr>
              <w:t>OUTCOMES</w:t>
            </w:r>
          </w:p>
        </w:tc>
      </w:tr>
      <w:tr w:rsidR="000A280B" w:rsidRPr="003F59A6" w:rsidTr="003F59A6">
        <w:trPr>
          <w:trHeight w:val="800"/>
        </w:trPr>
        <w:tc>
          <w:tcPr>
            <w:tcW w:w="810" w:type="dxa"/>
            <w:gridSpan w:val="2"/>
          </w:tcPr>
          <w:p w:rsidR="000A280B" w:rsidRPr="003F59A6" w:rsidRDefault="000A280B" w:rsidP="003F59A6">
            <w:pPr>
              <w:spacing w:before="100" w:beforeAutospacing="1" w:after="100" w:afterAutospacing="1"/>
              <w:rPr>
                <w:rFonts w:asciiTheme="minorHAnsi" w:hAnsiTheme="minorHAnsi"/>
                <w:sz w:val="24"/>
                <w:szCs w:val="24"/>
              </w:rPr>
            </w:pPr>
          </w:p>
        </w:tc>
        <w:tc>
          <w:tcPr>
            <w:tcW w:w="5254" w:type="dxa"/>
          </w:tcPr>
          <w:p w:rsidR="002B78A5" w:rsidRPr="003F59A6" w:rsidRDefault="002B78A5" w:rsidP="003F59A6">
            <w:pPr>
              <w:spacing w:before="100" w:beforeAutospacing="1" w:after="100" w:afterAutospacing="1"/>
              <w:rPr>
                <w:rFonts w:asciiTheme="minorHAnsi" w:hAnsiTheme="minorHAnsi"/>
                <w:sz w:val="24"/>
                <w:szCs w:val="24"/>
              </w:rPr>
            </w:pPr>
          </w:p>
        </w:tc>
        <w:tc>
          <w:tcPr>
            <w:tcW w:w="3751" w:type="dxa"/>
          </w:tcPr>
          <w:p w:rsidR="0005101F" w:rsidRPr="0005101F" w:rsidRDefault="0005101F" w:rsidP="0005101F">
            <w:pPr>
              <w:rPr>
                <w:rFonts w:asciiTheme="minorHAnsi" w:hAnsiTheme="minorHAnsi"/>
                <w:sz w:val="24"/>
                <w:szCs w:val="24"/>
              </w:rPr>
            </w:pPr>
            <w:r w:rsidRPr="0005101F">
              <w:rPr>
                <w:rFonts w:asciiTheme="minorHAnsi" w:hAnsiTheme="minorHAnsi"/>
                <w:sz w:val="24"/>
                <w:szCs w:val="24"/>
              </w:rPr>
              <w:t>Students will understand one or more periods of the past in its/their own terms.</w:t>
            </w:r>
          </w:p>
          <w:p w:rsidR="003F59A6" w:rsidRPr="0005101F" w:rsidRDefault="003F59A6" w:rsidP="003F59A6">
            <w:pPr>
              <w:spacing w:before="100" w:beforeAutospacing="1" w:after="100" w:afterAutospacing="1"/>
              <w:rPr>
                <w:rFonts w:asciiTheme="minorHAnsi" w:hAnsiTheme="minorHAnsi"/>
                <w:sz w:val="24"/>
                <w:szCs w:val="24"/>
              </w:rPr>
            </w:pPr>
          </w:p>
        </w:tc>
      </w:tr>
      <w:tr w:rsidR="000A280B" w:rsidRPr="003F59A6" w:rsidTr="003F59A6">
        <w:trPr>
          <w:trHeight w:val="1574"/>
        </w:trPr>
        <w:tc>
          <w:tcPr>
            <w:tcW w:w="810" w:type="dxa"/>
            <w:gridSpan w:val="2"/>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2B78A5" w:rsidRPr="003F59A6" w:rsidRDefault="002B78A5" w:rsidP="003F59A6">
            <w:pPr>
              <w:spacing w:before="100" w:beforeAutospacing="1" w:after="100" w:afterAutospacing="1"/>
              <w:rPr>
                <w:rFonts w:asciiTheme="minorHAnsi" w:hAnsiTheme="minorHAnsi"/>
                <w:sz w:val="24"/>
                <w:szCs w:val="24"/>
              </w:rPr>
            </w:pPr>
          </w:p>
        </w:tc>
        <w:tc>
          <w:tcPr>
            <w:tcW w:w="3751" w:type="dxa"/>
          </w:tcPr>
          <w:p w:rsidR="0005101F" w:rsidRPr="0005101F" w:rsidRDefault="0005101F" w:rsidP="0005101F">
            <w:pPr>
              <w:rPr>
                <w:rFonts w:asciiTheme="minorHAnsi" w:hAnsiTheme="minorHAnsi"/>
                <w:sz w:val="24"/>
                <w:szCs w:val="24"/>
              </w:rPr>
            </w:pPr>
            <w:r w:rsidRPr="0005101F">
              <w:rPr>
                <w:rFonts w:asciiTheme="minorHAnsi" w:hAnsiTheme="minorHAnsi"/>
                <w:sz w:val="24"/>
                <w:szCs w:val="24"/>
              </w:rPr>
              <w:t>Students will comprehend change and continuity in history.</w:t>
            </w:r>
          </w:p>
          <w:p w:rsidR="000A280B" w:rsidRPr="0005101F" w:rsidRDefault="000A280B" w:rsidP="003F59A6">
            <w:pPr>
              <w:rPr>
                <w:rFonts w:asciiTheme="minorHAnsi" w:hAnsiTheme="minorHAnsi"/>
                <w:sz w:val="24"/>
                <w:szCs w:val="24"/>
              </w:rPr>
            </w:pPr>
          </w:p>
        </w:tc>
      </w:tr>
      <w:tr w:rsidR="000A280B" w:rsidRPr="003F59A6" w:rsidTr="003F59A6">
        <w:trPr>
          <w:trHeight w:val="2114"/>
        </w:trPr>
        <w:tc>
          <w:tcPr>
            <w:tcW w:w="810" w:type="dxa"/>
            <w:gridSpan w:val="2"/>
          </w:tcPr>
          <w:p w:rsidR="000A280B" w:rsidRPr="003F59A6" w:rsidRDefault="000A280B" w:rsidP="003F59A6">
            <w:pPr>
              <w:spacing w:before="100" w:beforeAutospacing="1" w:after="100" w:afterAutospacing="1"/>
              <w:rPr>
                <w:rFonts w:asciiTheme="minorHAnsi" w:hAnsiTheme="minorHAnsi"/>
                <w:sz w:val="24"/>
                <w:szCs w:val="24"/>
              </w:rPr>
            </w:pPr>
          </w:p>
        </w:tc>
        <w:tc>
          <w:tcPr>
            <w:tcW w:w="5254" w:type="dxa"/>
          </w:tcPr>
          <w:p w:rsidR="000A280B" w:rsidRPr="003F59A6" w:rsidRDefault="000A280B" w:rsidP="003F59A6">
            <w:pPr>
              <w:spacing w:before="100" w:beforeAutospacing="1" w:after="100" w:afterAutospacing="1"/>
              <w:ind w:left="360"/>
              <w:rPr>
                <w:rFonts w:asciiTheme="minorHAnsi" w:hAnsiTheme="minorHAnsi"/>
                <w:sz w:val="24"/>
                <w:szCs w:val="24"/>
              </w:rPr>
            </w:pPr>
          </w:p>
          <w:p w:rsidR="002B78A5" w:rsidRPr="003F59A6" w:rsidRDefault="002B78A5" w:rsidP="003F59A6">
            <w:pPr>
              <w:spacing w:before="100" w:beforeAutospacing="1" w:after="100" w:afterAutospacing="1"/>
              <w:rPr>
                <w:rFonts w:asciiTheme="minorHAnsi" w:hAnsiTheme="minorHAnsi"/>
                <w:sz w:val="24"/>
                <w:szCs w:val="24"/>
              </w:rPr>
            </w:pPr>
          </w:p>
        </w:tc>
        <w:tc>
          <w:tcPr>
            <w:tcW w:w="3751" w:type="dxa"/>
          </w:tcPr>
          <w:p w:rsidR="0005101F" w:rsidRPr="0005101F" w:rsidRDefault="0005101F" w:rsidP="0005101F">
            <w:pPr>
              <w:rPr>
                <w:rFonts w:asciiTheme="minorHAnsi" w:hAnsiTheme="minorHAnsi"/>
                <w:sz w:val="24"/>
                <w:szCs w:val="24"/>
              </w:rPr>
            </w:pPr>
            <w:r w:rsidRPr="0005101F">
              <w:rPr>
                <w:rFonts w:asciiTheme="minorHAnsi" w:hAnsiTheme="minorHAnsi"/>
                <w:sz w:val="24"/>
                <w:szCs w:val="24"/>
              </w:rPr>
              <w:t>Students will improve their ability to evaluate evidence using the tools of historical investigation.</w:t>
            </w:r>
          </w:p>
          <w:p w:rsidR="000A280B" w:rsidRPr="0005101F" w:rsidRDefault="000A280B" w:rsidP="003F59A6">
            <w:pPr>
              <w:rPr>
                <w:rFonts w:asciiTheme="minorHAnsi" w:hAnsiTheme="minorHAnsi"/>
                <w:sz w:val="24"/>
                <w:szCs w:val="24"/>
              </w:rPr>
            </w:pPr>
          </w:p>
        </w:tc>
      </w:tr>
      <w:tr w:rsidR="007019CA" w:rsidRPr="003F59A6" w:rsidTr="003F59A6">
        <w:trPr>
          <w:trHeight w:val="280"/>
        </w:trPr>
        <w:tc>
          <w:tcPr>
            <w:tcW w:w="810" w:type="dxa"/>
            <w:gridSpan w:val="2"/>
          </w:tcPr>
          <w:p w:rsidR="007019CA" w:rsidRPr="003F59A6" w:rsidRDefault="007019CA" w:rsidP="003F59A6">
            <w:pPr>
              <w:spacing w:before="100" w:beforeAutospacing="1" w:after="100" w:afterAutospacing="1"/>
              <w:rPr>
                <w:rFonts w:asciiTheme="minorHAnsi" w:hAnsiTheme="minorHAnsi"/>
                <w:sz w:val="24"/>
                <w:szCs w:val="24"/>
              </w:rPr>
            </w:pPr>
          </w:p>
        </w:tc>
        <w:tc>
          <w:tcPr>
            <w:tcW w:w="5254" w:type="dxa"/>
          </w:tcPr>
          <w:p w:rsidR="007019CA" w:rsidRPr="003F59A6" w:rsidRDefault="007019CA" w:rsidP="003F59A6">
            <w:pPr>
              <w:spacing w:before="100" w:beforeAutospacing="1" w:after="100" w:afterAutospacing="1"/>
              <w:ind w:left="360"/>
              <w:rPr>
                <w:rFonts w:asciiTheme="minorHAnsi" w:hAnsiTheme="minorHAnsi"/>
                <w:sz w:val="24"/>
                <w:szCs w:val="24"/>
              </w:rPr>
            </w:pPr>
          </w:p>
        </w:tc>
        <w:tc>
          <w:tcPr>
            <w:tcW w:w="3751" w:type="dxa"/>
          </w:tcPr>
          <w:p w:rsidR="00D927D2" w:rsidRPr="0005101F" w:rsidRDefault="0005101F" w:rsidP="003F59A6">
            <w:pPr>
              <w:rPr>
                <w:rFonts w:asciiTheme="minorHAnsi" w:hAnsiTheme="minorHAnsi"/>
                <w:sz w:val="24"/>
                <w:szCs w:val="24"/>
              </w:rPr>
            </w:pPr>
            <w:r w:rsidRPr="0005101F">
              <w:rPr>
                <w:rFonts w:asciiTheme="minorHAnsi" w:hAnsiTheme="minorHAnsi" w:cs="Arial"/>
                <w:color w:val="504E4E"/>
                <w:sz w:val="24"/>
                <w:szCs w:val="24"/>
                <w:shd w:val="clear" w:color="auto" w:fill="FFFFFF"/>
              </w:rPr>
              <w:t>Students will gain experience and improve their skills in generalizing, explaining, and interpreting historical change</w:t>
            </w:r>
          </w:p>
        </w:tc>
      </w:tr>
    </w:tbl>
    <w:p w:rsidR="007019CA" w:rsidRPr="003F59A6" w:rsidRDefault="007019CA" w:rsidP="003F59A6">
      <w:pPr>
        <w:pStyle w:val="BodyText"/>
        <w:rPr>
          <w:rFonts w:asciiTheme="minorHAnsi" w:hAnsiTheme="minorHAnsi"/>
          <w:sz w:val="24"/>
          <w:szCs w:val="24"/>
        </w:rPr>
      </w:pPr>
    </w:p>
    <w:sectPr w:rsidR="007019CA" w:rsidRPr="003F59A6" w:rsidSect="00537B6D">
      <w:footerReference w:type="even" r:id="rId7"/>
      <w:footerReference w:type="default" r:id="rId8"/>
      <w:footerReference w:type="first" r:id="rId9"/>
      <w:pgSz w:w="12240" w:h="15840" w:code="1"/>
      <w:pgMar w:top="720" w:right="1800" w:bottom="1440" w:left="1800" w:header="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11" w:rsidRDefault="00D9188D">
      <w:r>
        <w:separator/>
      </w:r>
    </w:p>
  </w:endnote>
  <w:endnote w:type="continuationSeparator" w:id="0">
    <w:p w:rsidR="00901311" w:rsidRDefault="00D9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0B" w:rsidRDefault="003E7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9090B" w:rsidRDefault="00051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6D" w:rsidRPr="00537B6D" w:rsidRDefault="003E750F" w:rsidP="00537B6D">
    <w:pPr>
      <w:pStyle w:val="Footer"/>
      <w:pBdr>
        <w:top w:val="single" w:sz="4" w:space="1" w:color="D9D9D9"/>
      </w:pBdr>
      <w:jc w:val="right"/>
      <w:rPr>
        <w:rFonts w:ascii="Verdana" w:hAnsi="Verdana"/>
        <w:sz w:val="16"/>
        <w:szCs w:val="16"/>
      </w:rPr>
    </w:pPr>
    <w:r w:rsidRPr="00537B6D">
      <w:rPr>
        <w:rFonts w:ascii="Verdana" w:hAnsi="Verdana"/>
        <w:sz w:val="16"/>
        <w:szCs w:val="16"/>
      </w:rPr>
      <w:fldChar w:fldCharType="begin"/>
    </w:r>
    <w:r w:rsidRPr="00537B6D">
      <w:rPr>
        <w:rFonts w:ascii="Verdana" w:hAnsi="Verdana"/>
        <w:sz w:val="16"/>
        <w:szCs w:val="16"/>
      </w:rPr>
      <w:instrText xml:space="preserve"> PAGE   \* MERGEFORMAT </w:instrText>
    </w:r>
    <w:r w:rsidRPr="00537B6D">
      <w:rPr>
        <w:rFonts w:ascii="Verdana" w:hAnsi="Verdana"/>
        <w:sz w:val="16"/>
        <w:szCs w:val="16"/>
      </w:rPr>
      <w:fldChar w:fldCharType="separate"/>
    </w:r>
    <w:r w:rsidR="0005101F">
      <w:rPr>
        <w:rFonts w:ascii="Verdana" w:hAnsi="Verdana"/>
        <w:noProof/>
        <w:sz w:val="16"/>
        <w:szCs w:val="16"/>
      </w:rPr>
      <w:t>2</w:t>
    </w:r>
    <w:r w:rsidRPr="00537B6D">
      <w:rPr>
        <w:rFonts w:ascii="Verdana" w:hAnsi="Verdana"/>
        <w:noProof/>
        <w:sz w:val="16"/>
        <w:szCs w:val="16"/>
      </w:rPr>
      <w:fldChar w:fldCharType="end"/>
    </w:r>
    <w:r w:rsidRPr="00537B6D">
      <w:rPr>
        <w:rFonts w:ascii="Verdana" w:hAnsi="Verdana"/>
        <w:sz w:val="16"/>
        <w:szCs w:val="16"/>
      </w:rPr>
      <w:t xml:space="preserve"> | </w:t>
    </w:r>
    <w:r w:rsidRPr="00537B6D">
      <w:rPr>
        <w:rFonts w:ascii="Verdana" w:hAnsi="Verdana"/>
        <w:color w:val="808080"/>
        <w:spacing w:val="60"/>
        <w:sz w:val="16"/>
        <w:szCs w:val="16"/>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6D" w:rsidRPr="00537B6D" w:rsidRDefault="003E750F" w:rsidP="00537B6D">
    <w:pPr>
      <w:pStyle w:val="Footer"/>
      <w:pBdr>
        <w:top w:val="single" w:sz="4" w:space="1" w:color="D9D9D9"/>
      </w:pBdr>
      <w:jc w:val="right"/>
      <w:rPr>
        <w:rFonts w:ascii="Verdana" w:hAnsi="Verdana"/>
        <w:sz w:val="16"/>
        <w:szCs w:val="16"/>
      </w:rPr>
    </w:pPr>
    <w:r w:rsidRPr="00537B6D">
      <w:rPr>
        <w:rFonts w:ascii="Verdana" w:hAnsi="Verdana"/>
        <w:sz w:val="16"/>
        <w:szCs w:val="16"/>
      </w:rPr>
      <w:fldChar w:fldCharType="begin"/>
    </w:r>
    <w:r w:rsidRPr="00537B6D">
      <w:rPr>
        <w:rFonts w:ascii="Verdana" w:hAnsi="Verdana"/>
        <w:sz w:val="16"/>
        <w:szCs w:val="16"/>
      </w:rPr>
      <w:instrText xml:space="preserve"> PAGE   \* MERGEFORMAT </w:instrText>
    </w:r>
    <w:r w:rsidRPr="00537B6D">
      <w:rPr>
        <w:rFonts w:ascii="Verdana" w:hAnsi="Verdana"/>
        <w:sz w:val="16"/>
        <w:szCs w:val="16"/>
      </w:rPr>
      <w:fldChar w:fldCharType="separate"/>
    </w:r>
    <w:r w:rsidR="0005101F">
      <w:rPr>
        <w:rFonts w:ascii="Verdana" w:hAnsi="Verdana"/>
        <w:noProof/>
        <w:sz w:val="16"/>
        <w:szCs w:val="16"/>
      </w:rPr>
      <w:t>1</w:t>
    </w:r>
    <w:r w:rsidRPr="00537B6D">
      <w:rPr>
        <w:rFonts w:ascii="Verdana" w:hAnsi="Verdana"/>
        <w:noProof/>
        <w:sz w:val="16"/>
        <w:szCs w:val="16"/>
      </w:rPr>
      <w:fldChar w:fldCharType="end"/>
    </w:r>
    <w:r w:rsidRPr="00537B6D">
      <w:rPr>
        <w:rFonts w:ascii="Verdana" w:hAnsi="Verdana"/>
        <w:sz w:val="16"/>
        <w:szCs w:val="16"/>
      </w:rPr>
      <w:t xml:space="preserve"> | </w:t>
    </w:r>
    <w:r w:rsidRPr="00537B6D">
      <w:rPr>
        <w:rFonts w:ascii="Verdana" w:hAnsi="Verdana"/>
        <w:color w:val="808080"/>
        <w:spacing w:val="60"/>
        <w:sz w:val="16"/>
        <w:szCs w:val="16"/>
      </w:rPr>
      <w:t>Page</w:t>
    </w:r>
  </w:p>
  <w:p w:rsidR="0029090B" w:rsidRDefault="0005101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11" w:rsidRDefault="00D9188D">
      <w:r>
        <w:separator/>
      </w:r>
    </w:p>
  </w:footnote>
  <w:footnote w:type="continuationSeparator" w:id="0">
    <w:p w:rsidR="00901311" w:rsidRDefault="00D9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556"/>
    <w:multiLevelType w:val="multilevel"/>
    <w:tmpl w:val="E02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44113"/>
    <w:multiLevelType w:val="multilevel"/>
    <w:tmpl w:val="499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43AA1"/>
    <w:multiLevelType w:val="hybridMultilevel"/>
    <w:tmpl w:val="0950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6872"/>
    <w:multiLevelType w:val="hybridMultilevel"/>
    <w:tmpl w:val="5DBC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D40C7"/>
    <w:multiLevelType w:val="multilevel"/>
    <w:tmpl w:val="A314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D3690"/>
    <w:multiLevelType w:val="multilevel"/>
    <w:tmpl w:val="EBE2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01FAF"/>
    <w:multiLevelType w:val="hybridMultilevel"/>
    <w:tmpl w:val="68B8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015E63"/>
    <w:multiLevelType w:val="multilevel"/>
    <w:tmpl w:val="6BC0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41E66"/>
    <w:multiLevelType w:val="multilevel"/>
    <w:tmpl w:val="D18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7057D"/>
    <w:multiLevelType w:val="hybridMultilevel"/>
    <w:tmpl w:val="7B2A56D0"/>
    <w:lvl w:ilvl="0" w:tplc="0409000F">
      <w:start w:val="1"/>
      <w:numFmt w:val="decimal"/>
      <w:lvlText w:val="%1."/>
      <w:lvlJc w:val="left"/>
      <w:pPr>
        <w:ind w:left="720" w:hanging="360"/>
      </w:pPr>
    </w:lvl>
    <w:lvl w:ilvl="1" w:tplc="C01A214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20C0A"/>
    <w:multiLevelType w:val="multilevel"/>
    <w:tmpl w:val="2C8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B536F"/>
    <w:multiLevelType w:val="hybridMultilevel"/>
    <w:tmpl w:val="760C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05C73"/>
    <w:multiLevelType w:val="hybridMultilevel"/>
    <w:tmpl w:val="629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E0C41"/>
    <w:multiLevelType w:val="hybridMultilevel"/>
    <w:tmpl w:val="C3B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85795"/>
    <w:multiLevelType w:val="hybridMultilevel"/>
    <w:tmpl w:val="605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74E73"/>
    <w:multiLevelType w:val="multilevel"/>
    <w:tmpl w:val="AD28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72A4A"/>
    <w:multiLevelType w:val="hybridMultilevel"/>
    <w:tmpl w:val="3E32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53F07"/>
    <w:multiLevelType w:val="multilevel"/>
    <w:tmpl w:val="3DF43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4"/>
  </w:num>
  <w:num w:numId="3">
    <w:abstractNumId w:val="17"/>
  </w:num>
  <w:num w:numId="4">
    <w:abstractNumId w:val="15"/>
  </w:num>
  <w:num w:numId="5">
    <w:abstractNumId w:val="13"/>
  </w:num>
  <w:num w:numId="6">
    <w:abstractNumId w:val="11"/>
  </w:num>
  <w:num w:numId="7">
    <w:abstractNumId w:val="9"/>
  </w:num>
  <w:num w:numId="8">
    <w:abstractNumId w:val="1"/>
  </w:num>
  <w:num w:numId="9">
    <w:abstractNumId w:val="12"/>
  </w:num>
  <w:num w:numId="10">
    <w:abstractNumId w:val="2"/>
  </w:num>
  <w:num w:numId="11">
    <w:abstractNumId w:val="14"/>
  </w:num>
  <w:num w:numId="12">
    <w:abstractNumId w:val="16"/>
  </w:num>
  <w:num w:numId="13">
    <w:abstractNumId w:val="0"/>
  </w:num>
  <w:num w:numId="14">
    <w:abstractNumId w:val="3"/>
  </w:num>
  <w:num w:numId="15">
    <w:abstractNumId w:val="6"/>
  </w:num>
  <w:num w:numId="16">
    <w:abstractNumId w:val="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0B"/>
    <w:rsid w:val="0005101F"/>
    <w:rsid w:val="000A280B"/>
    <w:rsid w:val="000B7383"/>
    <w:rsid w:val="00107DD9"/>
    <w:rsid w:val="001946CC"/>
    <w:rsid w:val="001B6B57"/>
    <w:rsid w:val="001F56BD"/>
    <w:rsid w:val="00286D47"/>
    <w:rsid w:val="002B78A5"/>
    <w:rsid w:val="002E18EA"/>
    <w:rsid w:val="002F291E"/>
    <w:rsid w:val="003E750F"/>
    <w:rsid w:val="003F59A6"/>
    <w:rsid w:val="004C5CFD"/>
    <w:rsid w:val="005361E4"/>
    <w:rsid w:val="007019CA"/>
    <w:rsid w:val="007524D8"/>
    <w:rsid w:val="008B073A"/>
    <w:rsid w:val="008B0DDC"/>
    <w:rsid w:val="00901311"/>
    <w:rsid w:val="00AB478A"/>
    <w:rsid w:val="00D9188D"/>
    <w:rsid w:val="00D9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B5FEED-4F89-4EA8-B4F0-0AE60D3D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0B"/>
    <w:pPr>
      <w:spacing w:after="0" w:line="240" w:lineRule="auto"/>
    </w:pPr>
    <w:rPr>
      <w:rFonts w:ascii="Garamond" w:eastAsia="Times New Roman" w:hAnsi="Garamond" w:cs="Times New Roman"/>
      <w:szCs w:val="20"/>
    </w:rPr>
  </w:style>
  <w:style w:type="paragraph" w:styleId="Heading3">
    <w:name w:val="heading 3"/>
    <w:basedOn w:val="Normal"/>
    <w:next w:val="BodyText"/>
    <w:link w:val="Heading3Char"/>
    <w:qFormat/>
    <w:rsid w:val="000A280B"/>
    <w:pPr>
      <w:keepNext/>
      <w:keepLines/>
      <w:spacing w:after="240" w:line="240" w:lineRule="atLeast"/>
      <w:outlineLvl w:val="2"/>
    </w:pPr>
    <w:rPr>
      <w:i/>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280B"/>
    <w:rPr>
      <w:rFonts w:ascii="Garamond" w:eastAsia="Times New Roman" w:hAnsi="Garamond" w:cs="Times New Roman"/>
      <w:i/>
      <w:kern w:val="20"/>
      <w:szCs w:val="20"/>
    </w:rPr>
  </w:style>
  <w:style w:type="paragraph" w:styleId="Footer">
    <w:name w:val="footer"/>
    <w:basedOn w:val="Normal"/>
    <w:link w:val="FooterChar"/>
    <w:uiPriority w:val="99"/>
    <w:rsid w:val="000A280B"/>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0A280B"/>
    <w:rPr>
      <w:rFonts w:ascii="Garamond" w:eastAsia="Times New Roman" w:hAnsi="Garamond" w:cs="Times New Roman"/>
      <w:kern w:val="18"/>
      <w:szCs w:val="20"/>
    </w:rPr>
  </w:style>
  <w:style w:type="character" w:styleId="PageNumber">
    <w:name w:val="page number"/>
    <w:rsid w:val="000A280B"/>
  </w:style>
  <w:style w:type="paragraph" w:styleId="BodyText">
    <w:name w:val="Body Text"/>
    <w:basedOn w:val="Normal"/>
    <w:link w:val="BodyTextChar"/>
    <w:uiPriority w:val="99"/>
    <w:unhideWhenUsed/>
    <w:rsid w:val="000A280B"/>
    <w:pPr>
      <w:spacing w:after="120"/>
    </w:pPr>
  </w:style>
  <w:style w:type="character" w:customStyle="1" w:styleId="BodyTextChar">
    <w:name w:val="Body Text Char"/>
    <w:basedOn w:val="DefaultParagraphFont"/>
    <w:link w:val="BodyText"/>
    <w:uiPriority w:val="99"/>
    <w:rsid w:val="000A280B"/>
    <w:rPr>
      <w:rFonts w:ascii="Garamond" w:eastAsia="Times New Roman" w:hAnsi="Garamond" w:cs="Times New Roman"/>
      <w:szCs w:val="20"/>
    </w:rPr>
  </w:style>
  <w:style w:type="table" w:styleId="TableGrid">
    <w:name w:val="Table Grid"/>
    <w:basedOn w:val="TableNormal"/>
    <w:uiPriority w:val="39"/>
    <w:rsid w:val="000A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73A"/>
    <w:pPr>
      <w:ind w:left="720"/>
      <w:contextualSpacing/>
    </w:pPr>
  </w:style>
  <w:style w:type="paragraph" w:styleId="NormalWeb">
    <w:name w:val="Normal (Web)"/>
    <w:basedOn w:val="Normal"/>
    <w:uiPriority w:val="99"/>
    <w:semiHidden/>
    <w:unhideWhenUsed/>
    <w:rsid w:val="00AB478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B478A"/>
    <w:rPr>
      <w:b/>
      <w:bCs/>
    </w:rPr>
  </w:style>
  <w:style w:type="paragraph" w:styleId="Header">
    <w:name w:val="header"/>
    <w:basedOn w:val="Normal"/>
    <w:link w:val="HeaderChar"/>
    <w:uiPriority w:val="99"/>
    <w:unhideWhenUsed/>
    <w:rsid w:val="00D927D2"/>
    <w:pPr>
      <w:tabs>
        <w:tab w:val="center" w:pos="4680"/>
        <w:tab w:val="right" w:pos="9360"/>
      </w:tabs>
    </w:pPr>
  </w:style>
  <w:style w:type="character" w:customStyle="1" w:styleId="HeaderChar">
    <w:name w:val="Header Char"/>
    <w:basedOn w:val="DefaultParagraphFont"/>
    <w:link w:val="Header"/>
    <w:uiPriority w:val="99"/>
    <w:rsid w:val="00D927D2"/>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1456">
      <w:bodyDiv w:val="1"/>
      <w:marLeft w:val="0"/>
      <w:marRight w:val="0"/>
      <w:marTop w:val="0"/>
      <w:marBottom w:val="0"/>
      <w:divBdr>
        <w:top w:val="none" w:sz="0" w:space="0" w:color="auto"/>
        <w:left w:val="none" w:sz="0" w:space="0" w:color="auto"/>
        <w:bottom w:val="none" w:sz="0" w:space="0" w:color="auto"/>
        <w:right w:val="none" w:sz="0" w:space="0" w:color="auto"/>
      </w:divBdr>
    </w:div>
    <w:div w:id="317924327">
      <w:bodyDiv w:val="1"/>
      <w:marLeft w:val="0"/>
      <w:marRight w:val="0"/>
      <w:marTop w:val="0"/>
      <w:marBottom w:val="0"/>
      <w:divBdr>
        <w:top w:val="none" w:sz="0" w:space="0" w:color="auto"/>
        <w:left w:val="none" w:sz="0" w:space="0" w:color="auto"/>
        <w:bottom w:val="none" w:sz="0" w:space="0" w:color="auto"/>
        <w:right w:val="none" w:sz="0" w:space="0" w:color="auto"/>
      </w:divBdr>
    </w:div>
    <w:div w:id="712851642">
      <w:bodyDiv w:val="1"/>
      <w:marLeft w:val="0"/>
      <w:marRight w:val="0"/>
      <w:marTop w:val="0"/>
      <w:marBottom w:val="0"/>
      <w:divBdr>
        <w:top w:val="none" w:sz="0" w:space="0" w:color="auto"/>
        <w:left w:val="none" w:sz="0" w:space="0" w:color="auto"/>
        <w:bottom w:val="none" w:sz="0" w:space="0" w:color="auto"/>
        <w:right w:val="none" w:sz="0" w:space="0" w:color="auto"/>
      </w:divBdr>
    </w:div>
    <w:div w:id="1007363256">
      <w:bodyDiv w:val="1"/>
      <w:marLeft w:val="0"/>
      <w:marRight w:val="0"/>
      <w:marTop w:val="0"/>
      <w:marBottom w:val="0"/>
      <w:divBdr>
        <w:top w:val="none" w:sz="0" w:space="0" w:color="auto"/>
        <w:left w:val="none" w:sz="0" w:space="0" w:color="auto"/>
        <w:bottom w:val="none" w:sz="0" w:space="0" w:color="auto"/>
        <w:right w:val="none" w:sz="0" w:space="0" w:color="auto"/>
      </w:divBdr>
    </w:div>
    <w:div w:id="1361668394">
      <w:bodyDiv w:val="1"/>
      <w:marLeft w:val="0"/>
      <w:marRight w:val="0"/>
      <w:marTop w:val="0"/>
      <w:marBottom w:val="0"/>
      <w:divBdr>
        <w:top w:val="none" w:sz="0" w:space="0" w:color="auto"/>
        <w:left w:val="none" w:sz="0" w:space="0" w:color="auto"/>
        <w:bottom w:val="none" w:sz="0" w:space="0" w:color="auto"/>
        <w:right w:val="none" w:sz="0" w:space="0" w:color="auto"/>
      </w:divBdr>
    </w:div>
    <w:div w:id="1581990001">
      <w:bodyDiv w:val="1"/>
      <w:marLeft w:val="0"/>
      <w:marRight w:val="0"/>
      <w:marTop w:val="0"/>
      <w:marBottom w:val="0"/>
      <w:divBdr>
        <w:top w:val="none" w:sz="0" w:space="0" w:color="auto"/>
        <w:left w:val="none" w:sz="0" w:space="0" w:color="auto"/>
        <w:bottom w:val="none" w:sz="0" w:space="0" w:color="auto"/>
        <w:right w:val="none" w:sz="0" w:space="0" w:color="auto"/>
      </w:divBdr>
    </w:div>
    <w:div w:id="2007316551">
      <w:bodyDiv w:val="1"/>
      <w:marLeft w:val="0"/>
      <w:marRight w:val="0"/>
      <w:marTop w:val="0"/>
      <w:marBottom w:val="0"/>
      <w:divBdr>
        <w:top w:val="none" w:sz="0" w:space="0" w:color="auto"/>
        <w:left w:val="none" w:sz="0" w:space="0" w:color="auto"/>
        <w:bottom w:val="none" w:sz="0" w:space="0" w:color="auto"/>
        <w:right w:val="none" w:sz="0" w:space="0" w:color="auto"/>
      </w:divBdr>
    </w:div>
    <w:div w:id="21314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cp:lastModifiedBy>
  <cp:revision>2</cp:revision>
  <dcterms:created xsi:type="dcterms:W3CDTF">2018-09-28T15:28:00Z</dcterms:created>
  <dcterms:modified xsi:type="dcterms:W3CDTF">2018-09-28T15:28:00Z</dcterms:modified>
</cp:coreProperties>
</file>