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260" w:tblpY="1"/>
        <w:tblW w:w="11071" w:type="dxa"/>
        <w:tblLook w:val="04A0" w:firstRow="1" w:lastRow="0" w:firstColumn="1" w:lastColumn="0" w:noHBand="0" w:noVBand="1"/>
      </w:tblPr>
      <w:tblGrid>
        <w:gridCol w:w="2066"/>
        <w:gridCol w:w="5254"/>
        <w:gridCol w:w="3751"/>
      </w:tblGrid>
      <w:tr w:rsidR="003B7860" w:rsidRPr="008B073A" w:rsidTr="00635F9D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3B7860" w:rsidRPr="008B073A" w:rsidRDefault="003B7860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3B7860" w:rsidRPr="008B073A" w:rsidRDefault="003B7860" w:rsidP="00906DF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3B7860" w:rsidRPr="002B78A5" w:rsidRDefault="003B7860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06DF6" w:rsidRPr="008B073A" w:rsidTr="00635F9D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2B78A5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06DF6" w:rsidRPr="008B073A" w:rsidTr="00635F9D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906DF6" w:rsidRPr="002B78A5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06DF6" w:rsidRPr="008B073A" w:rsidTr="00635F9D">
        <w:tc>
          <w:tcPr>
            <w:tcW w:w="2066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906DF6" w:rsidRPr="008B073A" w:rsidRDefault="00906DF6" w:rsidP="00906DF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906DF6" w:rsidRPr="002B78A5" w:rsidRDefault="00906DF6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B7860" w:rsidRPr="008B073A" w:rsidTr="00635F9D">
        <w:tc>
          <w:tcPr>
            <w:tcW w:w="2066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nil"/>
            </w:tcBorders>
            <w:shd w:val="clear" w:color="auto" w:fill="BDD6EE" w:themeFill="accent1" w:themeFillTint="66"/>
          </w:tcPr>
          <w:p w:rsidR="003B7860" w:rsidRPr="008B073A" w:rsidRDefault="003B7860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3B7860" w:rsidRPr="008B073A" w:rsidRDefault="003B7860" w:rsidP="00906DF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12" w:space="0" w:color="5B9BD5" w:themeColor="accent1"/>
              <w:left w:val="nil"/>
              <w:bottom w:val="nil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3B7860" w:rsidRPr="002B78A5" w:rsidRDefault="003B7860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6460E" w:rsidRPr="008B073A" w:rsidTr="00575ED2">
        <w:tc>
          <w:tcPr>
            <w:tcW w:w="11071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F6460E" w:rsidRPr="00F6460E" w:rsidRDefault="00F6460E" w:rsidP="00F646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460E">
              <w:rPr>
                <w:rFonts w:asciiTheme="minorHAnsi" w:hAnsiTheme="minorHAnsi"/>
                <w:b/>
                <w:sz w:val="28"/>
                <w:szCs w:val="28"/>
              </w:rPr>
              <w:t>GE CLAS CORE</w:t>
            </w:r>
          </w:p>
          <w:p w:rsidR="00F6460E" w:rsidRPr="00F6460E" w:rsidRDefault="00F6460E" w:rsidP="00F6460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60E">
              <w:rPr>
                <w:rFonts w:asciiTheme="minorHAnsi" w:hAnsiTheme="minorHAnsi"/>
                <w:b/>
                <w:sz w:val="24"/>
                <w:szCs w:val="24"/>
              </w:rPr>
              <w:t>DIVERSITY AND INCLUSION AREA (DI)</w:t>
            </w:r>
          </w:p>
          <w:p w:rsidR="00F6460E" w:rsidRPr="00F6460E" w:rsidRDefault="00F6460E" w:rsidP="00906DF6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</w:rPr>
            </w:pPr>
            <w:r w:rsidRPr="00F6460E">
              <w:rPr>
                <w:rFonts w:asciiTheme="minorHAnsi" w:hAnsiTheme="minorHAnsi"/>
                <w:sz w:val="24"/>
                <w:szCs w:val="24"/>
                <w:shd w:val="clear" w:color="auto" w:fill="BDD6EE" w:themeFill="accent1" w:themeFillTint="66"/>
              </w:rPr>
              <w:t xml:space="preserve">Courses </w:t>
            </w:r>
            <w:r>
              <w:rPr>
                <w:rFonts w:asciiTheme="minorHAnsi" w:hAnsiTheme="minorHAnsi"/>
                <w:sz w:val="24"/>
                <w:szCs w:val="24"/>
                <w:shd w:val="clear" w:color="auto" w:fill="BDD6EE" w:themeFill="accent1" w:themeFillTint="66"/>
              </w:rPr>
              <w:t xml:space="preserve">in this area </w:t>
            </w:r>
            <w:r w:rsidRPr="00F6460E">
              <w:rPr>
                <w:rFonts w:asciiTheme="minorHAnsi" w:hAnsiTheme="minorHAnsi"/>
                <w:sz w:val="24"/>
                <w:szCs w:val="24"/>
                <w:shd w:val="clear" w:color="auto" w:fill="BDD6EE" w:themeFill="accent1" w:themeFillTint="66"/>
              </w:rPr>
              <w:t>develop students’ recognition of their positions in an increasingly pluralistic world while fostering an understanding of social and cultural differences. Courses in this area are generally discussion based.</w:t>
            </w:r>
          </w:p>
        </w:tc>
      </w:tr>
      <w:tr w:rsidR="000A280B" w:rsidRPr="008B073A" w:rsidTr="00F6460E">
        <w:tc>
          <w:tcPr>
            <w:tcW w:w="2066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shd w:val="clear" w:color="auto" w:fill="BDD6EE" w:themeFill="accent1" w:themeFillTint="66"/>
          </w:tcPr>
          <w:p w:rsidR="000A280B" w:rsidRPr="0094616F" w:rsidRDefault="0094616F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Decisions</w:t>
            </w:r>
          </w:p>
        </w:tc>
        <w:tc>
          <w:tcPr>
            <w:tcW w:w="5254" w:type="dxa"/>
            <w:tcBorders>
              <w:top w:val="single" w:sz="12" w:space="0" w:color="5B9BD5" w:themeColor="accent1"/>
            </w:tcBorders>
            <w:shd w:val="clear" w:color="auto" w:fill="BDD6EE" w:themeFill="accent1" w:themeFillTint="66"/>
          </w:tcPr>
          <w:p w:rsidR="000A280B" w:rsidRPr="0094616F" w:rsidRDefault="0094616F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94616F">
              <w:rPr>
                <w:rFonts w:asciiTheme="minorHAnsi" w:hAnsiTheme="minorHAnsi"/>
                <w:sz w:val="24"/>
                <w:szCs w:val="24"/>
              </w:rPr>
              <w:t>Comments</w:t>
            </w:r>
          </w:p>
        </w:tc>
        <w:tc>
          <w:tcPr>
            <w:tcW w:w="3751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0A280B" w:rsidRPr="00296E1D" w:rsidRDefault="008E55BA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296E1D">
              <w:rPr>
                <w:rFonts w:asciiTheme="minorHAnsi" w:hAnsiTheme="minorHAnsi"/>
                <w:sz w:val="24"/>
                <w:szCs w:val="24"/>
              </w:rPr>
              <w:t xml:space="preserve">COURSE </w:t>
            </w:r>
            <w:r w:rsidR="000A280B" w:rsidRPr="00296E1D">
              <w:rPr>
                <w:rFonts w:asciiTheme="minorHAnsi" w:hAnsiTheme="minorHAnsi"/>
                <w:sz w:val="24"/>
                <w:szCs w:val="24"/>
              </w:rPr>
              <w:t>ATTRIBUTES</w:t>
            </w:r>
            <w:r w:rsidR="00635F9D" w:rsidRPr="00296E1D">
              <w:rPr>
                <w:rFonts w:asciiTheme="minorHAnsi" w:hAnsiTheme="minorHAnsi"/>
                <w:sz w:val="24"/>
                <w:szCs w:val="24"/>
              </w:rPr>
              <w:t xml:space="preserve"> REQUIRED FOR ALL GE CLAS CORE COURSES</w:t>
            </w:r>
            <w:r w:rsidR="000A280B" w:rsidRPr="00296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A280B" w:rsidRPr="008B073A" w:rsidTr="00635F9D">
        <w:trPr>
          <w:trHeight w:val="620"/>
        </w:trPr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ssume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no prior student knowledge in the course content.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uild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from simple and/or informal assignments to more complex and/or formal ones.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Offers 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early and frequent evaluation of student work</w:t>
            </w:r>
            <w:r w:rsidR="00635F9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D9188D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Uses 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models and/or rubrics to define academic expectations.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Uses 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a variety of teaching and assessment strategies throughout the semester.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ntegrate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the instructor’s research within the course when feasible. 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ncourage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students to learn from each other whenever possible.</w:t>
            </w:r>
          </w:p>
        </w:tc>
      </w:tr>
      <w:tr w:rsidR="000A280B" w:rsidRPr="008B073A" w:rsidTr="00906DF6">
        <w:tc>
          <w:tcPr>
            <w:tcW w:w="2066" w:type="dxa"/>
            <w:tcBorders>
              <w:left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right w:val="single" w:sz="12" w:space="0" w:color="5B9BD5" w:themeColor="accent1"/>
            </w:tcBorders>
          </w:tcPr>
          <w:p w:rsidR="000A280B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technology as a supplemental tool to support learning when feasible.</w:t>
            </w:r>
          </w:p>
        </w:tc>
      </w:tr>
      <w:tr w:rsidR="000A280B" w:rsidRPr="008B073A" w:rsidTr="00903175">
        <w:trPr>
          <w:trHeight w:val="476"/>
        </w:trPr>
        <w:tc>
          <w:tcPr>
            <w:tcW w:w="2066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bottom w:val="single" w:sz="12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06DF6" w:rsidRPr="008B073A" w:rsidRDefault="00D9188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iscuss</w:t>
            </w:r>
            <w:r>
              <w:rPr>
                <w:rFonts w:asciiTheme="minorHAnsi" w:hAnsiTheme="minorHAnsi"/>
                <w:sz w:val="24"/>
                <w:szCs w:val="24"/>
              </w:rPr>
              <w:t>es</w:t>
            </w:r>
            <w:r w:rsidR="00906DF6">
              <w:rPr>
                <w:rFonts w:asciiTheme="minorHAnsi" w:hAnsiTheme="minorHAnsi"/>
                <w:sz w:val="24"/>
                <w:szCs w:val="24"/>
              </w:rPr>
              <w:t xml:space="preserve"> academic integrity</w:t>
            </w:r>
            <w:r w:rsidR="00635F9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A280B" w:rsidRPr="008B073A" w:rsidTr="00903175">
        <w:tc>
          <w:tcPr>
            <w:tcW w:w="2066" w:type="dxa"/>
            <w:tcBorders>
              <w:top w:val="single" w:sz="18" w:space="0" w:color="5B9BD5" w:themeColor="accent1"/>
              <w:left w:val="single" w:sz="12" w:space="0" w:color="5B9BD5" w:themeColor="accent1"/>
              <w:bottom w:val="single" w:sz="4" w:space="0" w:color="auto"/>
            </w:tcBorders>
            <w:shd w:val="clear" w:color="auto" w:fill="BDD6EE" w:themeFill="accent1" w:themeFillTint="66"/>
          </w:tcPr>
          <w:p w:rsidR="000A280B" w:rsidRPr="006266A4" w:rsidRDefault="0094616F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6266A4">
              <w:rPr>
                <w:rFonts w:asciiTheme="minorHAnsi" w:hAnsiTheme="minorHAnsi"/>
                <w:sz w:val="24"/>
                <w:szCs w:val="24"/>
              </w:rPr>
              <w:t>Decisions</w:t>
            </w:r>
          </w:p>
        </w:tc>
        <w:tc>
          <w:tcPr>
            <w:tcW w:w="5254" w:type="dxa"/>
            <w:tcBorders>
              <w:top w:val="single" w:sz="18" w:space="0" w:color="5B9BD5" w:themeColor="accent1"/>
              <w:bottom w:val="single" w:sz="4" w:space="0" w:color="auto"/>
            </w:tcBorders>
            <w:shd w:val="clear" w:color="auto" w:fill="BDD6EE" w:themeFill="accent1" w:themeFillTint="66"/>
          </w:tcPr>
          <w:p w:rsidR="000A280B" w:rsidRPr="006266A4" w:rsidRDefault="0094616F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6266A4">
              <w:rPr>
                <w:rFonts w:asciiTheme="minorHAnsi" w:hAnsiTheme="minorHAnsi"/>
                <w:sz w:val="24"/>
                <w:szCs w:val="24"/>
              </w:rPr>
              <w:t>Comments</w:t>
            </w:r>
          </w:p>
        </w:tc>
        <w:tc>
          <w:tcPr>
            <w:tcW w:w="3751" w:type="dxa"/>
            <w:tcBorders>
              <w:top w:val="single" w:sz="18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0A280B" w:rsidRPr="006266A4" w:rsidRDefault="0033168B" w:rsidP="00635F9D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6266A4">
              <w:rPr>
                <w:rFonts w:asciiTheme="minorHAnsi" w:hAnsiTheme="minorHAnsi"/>
                <w:sz w:val="24"/>
                <w:szCs w:val="24"/>
              </w:rPr>
              <w:t xml:space="preserve">GE </w:t>
            </w:r>
            <w:r w:rsidR="00635F9D" w:rsidRPr="006266A4">
              <w:rPr>
                <w:rFonts w:asciiTheme="minorHAnsi" w:hAnsiTheme="minorHAnsi"/>
                <w:sz w:val="24"/>
                <w:szCs w:val="24"/>
              </w:rPr>
              <w:t xml:space="preserve">CLAS </w:t>
            </w:r>
            <w:r w:rsidRPr="006266A4">
              <w:rPr>
                <w:rFonts w:asciiTheme="minorHAnsi" w:hAnsiTheme="minorHAnsi"/>
                <w:sz w:val="24"/>
                <w:szCs w:val="24"/>
              </w:rPr>
              <w:t xml:space="preserve">CORE </w:t>
            </w:r>
            <w:r w:rsidR="000A280B" w:rsidRPr="006266A4">
              <w:rPr>
                <w:rFonts w:asciiTheme="minorHAnsi" w:hAnsiTheme="minorHAnsi"/>
                <w:sz w:val="24"/>
                <w:szCs w:val="24"/>
              </w:rPr>
              <w:t>COMPREHENSIVE OUTCOMES</w:t>
            </w:r>
            <w:r w:rsidR="00635F9D" w:rsidRPr="006266A4">
              <w:rPr>
                <w:rFonts w:asciiTheme="minorHAnsi" w:hAnsiTheme="minorHAnsi"/>
                <w:sz w:val="24"/>
                <w:szCs w:val="24"/>
              </w:rPr>
              <w:t xml:space="preserve"> REQUIRED FOR ALL GE COURSES</w:t>
            </w:r>
          </w:p>
        </w:tc>
      </w:tr>
      <w:tr w:rsidR="000A280B" w:rsidRPr="008B073A" w:rsidTr="00F6460E">
        <w:tc>
          <w:tcPr>
            <w:tcW w:w="2066" w:type="dxa"/>
            <w:tcBorders>
              <w:top w:val="nil"/>
              <w:left w:val="single" w:sz="12" w:space="0" w:color="5B9BD5" w:themeColor="accent1"/>
              <w:bottom w:val="single" w:sz="4" w:space="0" w:color="auto"/>
            </w:tcBorders>
            <w:shd w:val="clear" w:color="auto" w:fill="auto"/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bottom w:val="single" w:sz="4" w:space="0" w:color="auto"/>
              <w:right w:val="single" w:sz="12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8B073A">
              <w:rPr>
                <w:rFonts w:asciiTheme="minorHAnsi" w:hAnsiTheme="minorHAnsi"/>
                <w:sz w:val="24"/>
                <w:szCs w:val="24"/>
              </w:rPr>
              <w:t>Students become more aware of the learning process.</w:t>
            </w:r>
          </w:p>
        </w:tc>
      </w:tr>
      <w:tr w:rsidR="000A280B" w:rsidRPr="008B073A" w:rsidTr="00F6460E">
        <w:tc>
          <w:tcPr>
            <w:tcW w:w="2066" w:type="dxa"/>
            <w:tcBorders>
              <w:top w:val="single" w:sz="4" w:space="0" w:color="auto"/>
              <w:left w:val="single" w:sz="12" w:space="0" w:color="5B9BD5" w:themeColor="accent1"/>
              <w:bottom w:val="single" w:sz="18" w:space="0" w:color="5B9BD5" w:themeColor="accent1"/>
            </w:tcBorders>
            <w:shd w:val="clear" w:color="auto" w:fill="auto"/>
          </w:tcPr>
          <w:p w:rsidR="000A280B" w:rsidRPr="00906DF6" w:rsidRDefault="000A280B" w:rsidP="00906DF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bottom w:val="single" w:sz="18" w:space="0" w:color="5B9BD5" w:themeColor="accent1"/>
            </w:tcBorders>
            <w:shd w:val="clear" w:color="auto" w:fill="auto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bottom w:val="single" w:sz="18" w:space="0" w:color="5B9BD5" w:themeColor="accent1"/>
              <w:right w:val="single" w:sz="12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>Students have a better understanding of the ways that learning can transform the individual and motivate change within society.</w:t>
            </w:r>
          </w:p>
        </w:tc>
      </w:tr>
      <w:tr w:rsidR="00F6460E" w:rsidRPr="008B073A" w:rsidTr="00F6460E">
        <w:tc>
          <w:tcPr>
            <w:tcW w:w="2066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0B" w:rsidRPr="00635F9D" w:rsidRDefault="000A280B" w:rsidP="00635F9D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18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0B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635F9D" w:rsidRPr="008B073A" w:rsidRDefault="00635F9D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18" w:space="0" w:color="5B9BD5" w:themeColor="accent1"/>
              <w:left w:val="single" w:sz="4" w:space="0" w:color="auto"/>
              <w:bottom w:val="single" w:sz="4" w:space="0" w:color="auto"/>
              <w:right w:val="single" w:sz="18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>Students use the skills, methods, and modes of inquiry central to t</w:t>
            </w:r>
            <w:r w:rsidR="00635F9D">
              <w:rPr>
                <w:rFonts w:asciiTheme="minorHAnsi" w:hAnsiTheme="minorHAnsi"/>
                <w:sz w:val="24"/>
                <w:szCs w:val="24"/>
              </w:rPr>
              <w:t xml:space="preserve">he area of study represented by the </w:t>
            </w:r>
            <w:r w:rsidRPr="000A280B">
              <w:rPr>
                <w:rFonts w:asciiTheme="minorHAnsi" w:hAnsiTheme="minorHAnsi"/>
                <w:sz w:val="24"/>
                <w:szCs w:val="24"/>
              </w:rPr>
              <w:t>course and by its GE status area within the GE program.</w:t>
            </w:r>
          </w:p>
        </w:tc>
      </w:tr>
      <w:tr w:rsidR="00F6460E" w:rsidRPr="008B073A" w:rsidTr="00F6460E">
        <w:tc>
          <w:tcPr>
            <w:tcW w:w="2066" w:type="dxa"/>
            <w:tcBorders>
              <w:top w:val="single" w:sz="4" w:space="0" w:color="auto"/>
              <w:left w:val="single" w:sz="18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0B" w:rsidRPr="00635F9D" w:rsidRDefault="000A280B" w:rsidP="00635F9D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>Students think critically, using analysis, deduction, inference and/or other analytical strategies to complete assignments and other course activities.</w:t>
            </w:r>
          </w:p>
        </w:tc>
      </w:tr>
      <w:tr w:rsidR="000A280B" w:rsidRPr="008B073A" w:rsidTr="0094616F">
        <w:tc>
          <w:tcPr>
            <w:tcW w:w="2066" w:type="dxa"/>
            <w:tcBorders>
              <w:top w:val="single" w:sz="4" w:space="0" w:color="auto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</w:tcPr>
          <w:p w:rsidR="000A280B" w:rsidRPr="00635F9D" w:rsidRDefault="000A280B" w:rsidP="00635F9D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A280B" w:rsidRPr="008B073A" w:rsidRDefault="000A280B" w:rsidP="00906DF6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>Students write and speak informally and/or formally about matters related to the course, while also using other methods of communication appropriate to the course content.</w:t>
            </w:r>
          </w:p>
        </w:tc>
      </w:tr>
    </w:tbl>
    <w:tbl>
      <w:tblPr>
        <w:tblStyle w:val="TableGrid"/>
        <w:tblW w:w="11070" w:type="dxa"/>
        <w:tblInd w:w="-1265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2060"/>
        <w:gridCol w:w="5220"/>
        <w:gridCol w:w="3790"/>
      </w:tblGrid>
      <w:tr w:rsidR="000A280B" w:rsidRPr="008B073A" w:rsidTr="00903175">
        <w:tc>
          <w:tcPr>
            <w:tcW w:w="2060" w:type="dxa"/>
            <w:tcBorders>
              <w:top w:val="single" w:sz="12" w:space="0" w:color="5B9BD5" w:themeColor="accent1"/>
              <w:bottom w:val="nil"/>
            </w:tcBorders>
            <w:shd w:val="clear" w:color="auto" w:fill="BDD6EE" w:themeFill="accent1" w:themeFillTint="66"/>
          </w:tcPr>
          <w:p w:rsidR="00903175" w:rsidRPr="00903175" w:rsidRDefault="00903175" w:rsidP="00903175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903175"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5220" w:type="dxa"/>
            <w:tcBorders>
              <w:top w:val="single" w:sz="12" w:space="0" w:color="5B9BD5" w:themeColor="accent1"/>
              <w:bottom w:val="nil"/>
            </w:tcBorders>
            <w:shd w:val="clear" w:color="auto" w:fill="BDD6EE" w:themeFill="accent1" w:themeFillTint="66"/>
          </w:tcPr>
          <w:p w:rsidR="000A280B" w:rsidRPr="00903175" w:rsidRDefault="0090317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903175">
              <w:rPr>
                <w:rFonts w:asciiTheme="minorHAnsi" w:hAnsiTheme="minorHAnsi"/>
                <w:sz w:val="24"/>
                <w:szCs w:val="24"/>
              </w:rPr>
              <w:t>Comments</w:t>
            </w:r>
          </w:p>
        </w:tc>
        <w:tc>
          <w:tcPr>
            <w:tcW w:w="3790" w:type="dxa"/>
            <w:tcBorders>
              <w:top w:val="single" w:sz="12" w:space="0" w:color="5B9BD5" w:themeColor="accent1"/>
              <w:bottom w:val="nil"/>
            </w:tcBorders>
            <w:shd w:val="clear" w:color="auto" w:fill="BDD6EE" w:themeFill="accent1" w:themeFillTint="66"/>
          </w:tcPr>
          <w:p w:rsidR="000A280B" w:rsidRPr="00296E1D" w:rsidRDefault="00AB478A" w:rsidP="009732D0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296E1D">
              <w:rPr>
                <w:rFonts w:asciiTheme="minorHAnsi" w:hAnsiTheme="minorHAnsi"/>
                <w:sz w:val="24"/>
                <w:szCs w:val="24"/>
              </w:rPr>
              <w:t xml:space="preserve">DI </w:t>
            </w:r>
            <w:r w:rsidR="000A280B" w:rsidRPr="00296E1D">
              <w:rPr>
                <w:rFonts w:asciiTheme="minorHAnsi" w:hAnsiTheme="minorHAnsi"/>
                <w:sz w:val="24"/>
                <w:szCs w:val="24"/>
              </w:rPr>
              <w:t>AREA OUTCOMES</w:t>
            </w:r>
          </w:p>
        </w:tc>
      </w:tr>
      <w:tr w:rsidR="000A280B" w:rsidRPr="008B073A" w:rsidTr="00DB3BD7">
        <w:trPr>
          <w:trHeight w:val="1187"/>
        </w:trPr>
        <w:tc>
          <w:tcPr>
            <w:tcW w:w="2060" w:type="dxa"/>
          </w:tcPr>
          <w:p w:rsidR="000A280B" w:rsidRPr="00903175" w:rsidRDefault="000A280B" w:rsidP="00903175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0" w:type="dxa"/>
          </w:tcPr>
          <w:p w:rsidR="002B78A5" w:rsidRPr="008B073A" w:rsidRDefault="002B78A5" w:rsidP="00DB3BD7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3790" w:type="dxa"/>
          </w:tcPr>
          <w:p w:rsidR="00DB3BD7" w:rsidRPr="009732D0" w:rsidRDefault="000A280B" w:rsidP="009732D0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9732D0">
              <w:rPr>
                <w:rFonts w:asciiTheme="minorHAnsi" w:hAnsiTheme="minorHAnsi"/>
                <w:sz w:val="24"/>
                <w:szCs w:val="24"/>
              </w:rPr>
              <w:t>Students explore the historical and structural bases of inequality.</w:t>
            </w:r>
          </w:p>
        </w:tc>
      </w:tr>
      <w:tr w:rsidR="000A280B" w:rsidRPr="008B073A" w:rsidTr="00903175">
        <w:tc>
          <w:tcPr>
            <w:tcW w:w="2060" w:type="dxa"/>
          </w:tcPr>
          <w:p w:rsidR="000A280B" w:rsidRPr="00903175" w:rsidRDefault="000A280B" w:rsidP="00903175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0" w:type="dxa"/>
          </w:tcPr>
          <w:p w:rsidR="000A280B" w:rsidRDefault="000A280B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Pr="008B073A" w:rsidRDefault="002B78A5" w:rsidP="00DB3BD7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:rsidR="000A280B" w:rsidRPr="009732D0" w:rsidRDefault="000A280B" w:rsidP="009732D0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9732D0">
              <w:rPr>
                <w:rFonts w:asciiTheme="minorHAnsi" w:hAnsiTheme="minorHAnsi"/>
                <w:sz w:val="24"/>
                <w:szCs w:val="24"/>
              </w:rPr>
              <w:t>Students learn about the benefits and challenges of diversity.</w:t>
            </w:r>
          </w:p>
        </w:tc>
      </w:tr>
      <w:tr w:rsidR="000A280B" w:rsidRPr="008B073A" w:rsidTr="00903175">
        <w:tc>
          <w:tcPr>
            <w:tcW w:w="2060" w:type="dxa"/>
          </w:tcPr>
          <w:p w:rsidR="000A280B" w:rsidRPr="00903175" w:rsidRDefault="000A280B" w:rsidP="00903175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0" w:type="dxa"/>
          </w:tcPr>
          <w:p w:rsidR="000A280B" w:rsidRDefault="000A280B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Default="002B78A5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2B78A5" w:rsidRPr="008B073A" w:rsidRDefault="002B78A5" w:rsidP="00DB3BD7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:rsidR="000A280B" w:rsidRPr="009732D0" w:rsidRDefault="000A280B" w:rsidP="009732D0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9732D0">
              <w:rPr>
                <w:rFonts w:asciiTheme="minorHAnsi" w:hAnsiTheme="minorHAnsi"/>
                <w:sz w:val="24"/>
                <w:szCs w:val="24"/>
              </w:rPr>
              <w:t>Students reflect critically on their own social and cultural perspectives.</w:t>
            </w:r>
          </w:p>
        </w:tc>
      </w:tr>
      <w:tr w:rsidR="00DB3BD7" w:rsidRPr="008B073A" w:rsidTr="00903175">
        <w:tc>
          <w:tcPr>
            <w:tcW w:w="2060" w:type="dxa"/>
          </w:tcPr>
          <w:p w:rsidR="00DB3BD7" w:rsidRPr="00903175" w:rsidRDefault="00DB3BD7" w:rsidP="00903175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0" w:type="dxa"/>
          </w:tcPr>
          <w:p w:rsidR="00DB3BD7" w:rsidRDefault="00DB3BD7" w:rsidP="000A280B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:rsidR="00DB3BD7" w:rsidRPr="008547A9" w:rsidRDefault="00DB3BD7" w:rsidP="008547A9">
            <w:pPr>
              <w:rPr>
                <w:rFonts w:asciiTheme="minorHAnsi" w:hAnsiTheme="minorHAnsi"/>
                <w:sz w:val="24"/>
                <w:szCs w:val="24"/>
              </w:rPr>
            </w:pPr>
            <w:r w:rsidRPr="008547A9">
              <w:rPr>
                <w:rFonts w:asciiTheme="minorHAnsi" w:hAnsiTheme="minorHAnsi"/>
                <w:sz w:val="24"/>
                <w:szCs w:val="24"/>
              </w:rPr>
              <w:t xml:space="preserve">Students increase their ability to engage with people who have backgrounds or ideas different from their own. </w:t>
            </w:r>
          </w:p>
        </w:tc>
      </w:tr>
    </w:tbl>
    <w:p w:rsidR="002B78A5" w:rsidRPr="00AB478A" w:rsidRDefault="002B78A5" w:rsidP="002B78A5">
      <w:pPr>
        <w:pStyle w:val="BodyText"/>
      </w:pPr>
      <w:bookmarkStart w:id="0" w:name="_GoBack"/>
      <w:bookmarkEnd w:id="0"/>
    </w:p>
    <w:sectPr w:rsidR="002B78A5" w:rsidRPr="00AB478A" w:rsidSect="00537B6D">
      <w:footerReference w:type="even" r:id="rId7"/>
      <w:footerReference w:type="default" r:id="rId8"/>
      <w:footerReference w:type="first" r:id="rId9"/>
      <w:pgSz w:w="12240" w:h="15840" w:code="1"/>
      <w:pgMar w:top="720" w:right="1800" w:bottom="1440" w:left="180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11" w:rsidRDefault="00D9188D">
      <w:r>
        <w:separator/>
      </w:r>
    </w:p>
  </w:endnote>
  <w:endnote w:type="continuationSeparator" w:id="0">
    <w:p w:rsidR="00901311" w:rsidRDefault="00D9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0B" w:rsidRDefault="003E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9090B" w:rsidRDefault="00854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6D" w:rsidRPr="00537B6D" w:rsidRDefault="003E750F" w:rsidP="00537B6D">
    <w:pPr>
      <w:pStyle w:val="Footer"/>
      <w:pBdr>
        <w:top w:val="single" w:sz="4" w:space="1" w:color="D9D9D9"/>
      </w:pBdr>
      <w:jc w:val="right"/>
      <w:rPr>
        <w:rFonts w:ascii="Verdana" w:hAnsi="Verdana"/>
        <w:sz w:val="16"/>
        <w:szCs w:val="16"/>
      </w:rPr>
    </w:pPr>
    <w:r w:rsidRPr="00537B6D">
      <w:rPr>
        <w:rFonts w:ascii="Verdana" w:hAnsi="Verdana"/>
        <w:sz w:val="16"/>
        <w:szCs w:val="16"/>
      </w:rPr>
      <w:fldChar w:fldCharType="begin"/>
    </w:r>
    <w:r w:rsidRPr="00537B6D">
      <w:rPr>
        <w:rFonts w:ascii="Verdana" w:hAnsi="Verdana"/>
        <w:sz w:val="16"/>
        <w:szCs w:val="16"/>
      </w:rPr>
      <w:instrText xml:space="preserve"> PAGE   \* MERGEFORMAT </w:instrText>
    </w:r>
    <w:r w:rsidRPr="00537B6D">
      <w:rPr>
        <w:rFonts w:ascii="Verdana" w:hAnsi="Verdana"/>
        <w:sz w:val="16"/>
        <w:szCs w:val="16"/>
      </w:rPr>
      <w:fldChar w:fldCharType="separate"/>
    </w:r>
    <w:r w:rsidR="008547A9">
      <w:rPr>
        <w:rFonts w:ascii="Verdana" w:hAnsi="Verdana"/>
        <w:noProof/>
        <w:sz w:val="16"/>
        <w:szCs w:val="16"/>
      </w:rPr>
      <w:t>2</w:t>
    </w:r>
    <w:r w:rsidRPr="00537B6D">
      <w:rPr>
        <w:rFonts w:ascii="Verdana" w:hAnsi="Verdana"/>
        <w:noProof/>
        <w:sz w:val="16"/>
        <w:szCs w:val="16"/>
      </w:rPr>
      <w:fldChar w:fldCharType="end"/>
    </w:r>
    <w:r w:rsidRPr="00537B6D">
      <w:rPr>
        <w:rFonts w:ascii="Verdana" w:hAnsi="Verdana"/>
        <w:sz w:val="16"/>
        <w:szCs w:val="16"/>
      </w:rPr>
      <w:t xml:space="preserve"> | </w:t>
    </w:r>
    <w:r w:rsidRPr="00537B6D">
      <w:rPr>
        <w:rFonts w:ascii="Verdana" w:hAnsi="Verdana"/>
        <w:color w:val="808080"/>
        <w:spacing w:val="60"/>
        <w:sz w:val="16"/>
        <w:szCs w:val="16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0B" w:rsidRDefault="008547A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11" w:rsidRDefault="00D9188D">
      <w:r>
        <w:separator/>
      </w:r>
    </w:p>
  </w:footnote>
  <w:footnote w:type="continuationSeparator" w:id="0">
    <w:p w:rsidR="00901311" w:rsidRDefault="00D9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113"/>
    <w:multiLevelType w:val="multilevel"/>
    <w:tmpl w:val="499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43AA1"/>
    <w:multiLevelType w:val="hybridMultilevel"/>
    <w:tmpl w:val="0950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40C7"/>
    <w:multiLevelType w:val="multilevel"/>
    <w:tmpl w:val="A31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913F9"/>
    <w:multiLevelType w:val="multilevel"/>
    <w:tmpl w:val="EBEA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41E66"/>
    <w:multiLevelType w:val="multilevel"/>
    <w:tmpl w:val="D18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7057D"/>
    <w:multiLevelType w:val="hybridMultilevel"/>
    <w:tmpl w:val="605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B536F"/>
    <w:multiLevelType w:val="hybridMultilevel"/>
    <w:tmpl w:val="760C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5C73"/>
    <w:multiLevelType w:val="hybridMultilevel"/>
    <w:tmpl w:val="629A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E0C41"/>
    <w:multiLevelType w:val="hybridMultilevel"/>
    <w:tmpl w:val="DA9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85795"/>
    <w:multiLevelType w:val="hybridMultilevel"/>
    <w:tmpl w:val="605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74E73"/>
    <w:multiLevelType w:val="multilevel"/>
    <w:tmpl w:val="AD2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E53F07"/>
    <w:multiLevelType w:val="multilevel"/>
    <w:tmpl w:val="3DF43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0B"/>
    <w:rsid w:val="000A280B"/>
    <w:rsid w:val="000B7383"/>
    <w:rsid w:val="001946CC"/>
    <w:rsid w:val="00296E1D"/>
    <w:rsid w:val="002B78A5"/>
    <w:rsid w:val="002F291E"/>
    <w:rsid w:val="0033168B"/>
    <w:rsid w:val="003B7860"/>
    <w:rsid w:val="003E750F"/>
    <w:rsid w:val="006266A4"/>
    <w:rsid w:val="00635F9D"/>
    <w:rsid w:val="008547A9"/>
    <w:rsid w:val="008B073A"/>
    <w:rsid w:val="008E55BA"/>
    <w:rsid w:val="00901311"/>
    <w:rsid w:val="00903175"/>
    <w:rsid w:val="00906DF6"/>
    <w:rsid w:val="0094616F"/>
    <w:rsid w:val="009732D0"/>
    <w:rsid w:val="009A2AB6"/>
    <w:rsid w:val="00AB478A"/>
    <w:rsid w:val="00B04B8F"/>
    <w:rsid w:val="00D9188D"/>
    <w:rsid w:val="00DB3BD7"/>
    <w:rsid w:val="00F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3B5FEED-4F89-4EA8-B4F0-0AE60D3D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0B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3">
    <w:name w:val="heading 3"/>
    <w:basedOn w:val="Normal"/>
    <w:next w:val="BodyText"/>
    <w:link w:val="Heading3Char"/>
    <w:qFormat/>
    <w:rsid w:val="000A280B"/>
    <w:pPr>
      <w:keepNext/>
      <w:keepLines/>
      <w:spacing w:after="240" w:line="240" w:lineRule="atLeast"/>
      <w:outlineLvl w:val="2"/>
    </w:pPr>
    <w:rPr>
      <w:i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280B"/>
    <w:rPr>
      <w:rFonts w:ascii="Garamond" w:eastAsia="Times New Roman" w:hAnsi="Garamond" w:cs="Times New Roman"/>
      <w:i/>
      <w:kern w:val="20"/>
      <w:szCs w:val="20"/>
    </w:rPr>
  </w:style>
  <w:style w:type="paragraph" w:styleId="Footer">
    <w:name w:val="footer"/>
    <w:basedOn w:val="Normal"/>
    <w:link w:val="FooterChar"/>
    <w:uiPriority w:val="99"/>
    <w:rsid w:val="000A280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rsid w:val="000A280B"/>
    <w:rPr>
      <w:rFonts w:ascii="Garamond" w:eastAsia="Times New Roman" w:hAnsi="Garamond" w:cs="Times New Roman"/>
      <w:kern w:val="18"/>
      <w:szCs w:val="20"/>
    </w:rPr>
  </w:style>
  <w:style w:type="character" w:styleId="PageNumber">
    <w:name w:val="page number"/>
    <w:rsid w:val="000A280B"/>
  </w:style>
  <w:style w:type="paragraph" w:styleId="BodyText">
    <w:name w:val="Body Text"/>
    <w:basedOn w:val="Normal"/>
    <w:link w:val="BodyTextChar"/>
    <w:uiPriority w:val="99"/>
    <w:unhideWhenUsed/>
    <w:rsid w:val="000A28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280B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39"/>
    <w:rsid w:val="000A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7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7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B8F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and Inclusion</vt:lpstr>
    </vt:vector>
  </TitlesOfParts>
  <Company>The University of Iowa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and Inclusion</dc:title>
  <dc:subject/>
  <dc:creator>Hall, Kathryn C</dc:creator>
  <cp:keywords/>
  <dc:description/>
  <cp:lastModifiedBy>Hall, Kathryn C</cp:lastModifiedBy>
  <cp:revision>2</cp:revision>
  <cp:lastPrinted>2018-09-21T18:07:00Z</cp:lastPrinted>
  <dcterms:created xsi:type="dcterms:W3CDTF">2018-09-21T19:53:00Z</dcterms:created>
  <dcterms:modified xsi:type="dcterms:W3CDTF">2018-09-21T19:53:00Z</dcterms:modified>
</cp:coreProperties>
</file>